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jpg" ContentType="image/jpeg"/>
  <Default Extension="psmdcp" ContentType="application/vnd.openxmlformats-package.core-properties+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0dd38f5d38ae4fb6" /><Relationship Type="http://schemas.openxmlformats.org/package/2006/relationships/metadata/core-properties" Target="/package/services/metadata/core-properties/1563b118351e48339829ce1c20752dab.psmdcp" Id="Rc0d13c5ee37e4df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69334"/>
                <wp:effectExtent l="0" t="0" r="0" b="0"/>
                <wp:wrapNone/>
                <wp:docPr id="138" name="Rectangle 138"/>
                <wp:cNvGraphicFramePr/>
                <a:graphic xmlns:a="http://schemas.openxmlformats.org/drawingml/2006/main">
                  <a:graphicData uri="http://schemas.microsoft.com/office/word/2010/wordprocessingShape">
                    <wps:wsp>
                      <wps:cNvSpPr/>
                      <wps:spPr bwMode="auto">
                        <a:xfrm>
                          <a:off x="541800" y="1205640"/>
                          <a:ext cx="6508440" cy="8469334"/>
                        </a:xfrm>
                        <a:prstGeom prst="rect">
                          <a:avLst/>
                        </a:prstGeom>
                        <a:ln w="0" cap="sq" cmpd="sng">
                          <a:noFill/>
                          <a:miter lim="800000"/>
                        </a:ln>
                      </wps:spPr>
                      <wps:txbx id="1">
                        <w:txbxContent>
                          <w:tbl>
                            <w:tblPr>
                              <w:tblLayout w:type="fixed"/>
                              <w:tblInd w:w="0" w:type="dxa"/>
                              <w:tblCellMar>
                                <w:left w:w="0" w:type="dxa"/>
                                <w:right w:w="0" w:type="dxa"/>
                              </w:tblCellMar>
                            </w:tblPr>
                            <w:tblGrid>
                              <w:gridCol w:w="2268"/>
                              <w:gridCol w:w="226"/>
                              <w:gridCol w:w="100"/>
                              <w:gridCol w:w="510"/>
                              <w:gridCol w:w="284"/>
                              <w:gridCol w:w="1134"/>
                              <w:gridCol w:w="1134"/>
                              <w:gridCol w:w="100"/>
                              <w:gridCol w:w="1078"/>
                              <w:gridCol w:w="1134"/>
                              <w:gridCol w:w="1134"/>
                              <w:gridCol w:w="1134"/>
                            </w:tblGrid>
                            <w:tr>
                              <w:trPr>
                                <w:trHeight w:val="266" w:hRule="atLeast"/>
                              </w:trPr>
                              <w:tc>
                                <w:tcPr>
                                  <w:tcW w:w="10144" w:type="dxa"/>
                                  <w:gridSpan w:val="12"/>
                                  <w:tcBorders>
                                    <w:top w:val="single" w:color="D92A33" w:sz="4"/>
                                    <w:left w:val="nil" w:color="000000" w:sz="0"/>
                                    <w:bottom w:val="single" w:color="D92A33" w:sz="4"/>
                                    <w:right w:val="nil" w:color="000000" w:sz="0"/>
                                  </w:tcBorders>
                                  <w:shd w:val="clear" w:color="auto" w:fill="FBFBFB"/>
                                  <w:tcMar>
                                    <w:top w:w="56" w:type="dxa"/>
                                    <w:left w:w="56" w:type="dxa"/>
                                    <w:bottom w:w="56"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 Identification de la substance/du mélange et de la société/de l’entreprise</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1.1 - Identificateur de produit</w:t>
                                  </w:r>
                                </w:p>
                              </w:tc>
                            </w:tr>
                            <w:tr>
                              <w:trPr>
                                <w:trHeight w:val="441"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Nom commercial du produit/désignation</w:t>
                                  </w:r>
                                </w:p>
                              </w:tc>
                              <w:tc>
                                <w:tcPr>
                                  <w:tcW w:w="7876" w:type="dxa"/>
                                  <w:gridSpan w:val="11"/>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FDS - Milan 10%</w:t>
                                  </w:r>
                                </w:p>
                              </w:tc>
                            </w:tr>
                            <w:tr>
                              <w:trPr>
                                <w:trHeight w:val="221"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Nom chimique</w:t>
                                  </w:r>
                                </w:p>
                              </w:tc>
                              <w:tc>
                                <w:tcPr>
                                  <w:tcW w:w="7876" w:type="dxa"/>
                                  <w:gridSpan w:val="11"/>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Type de produit</w:t>
                                  </w:r>
                                </w:p>
                              </w:tc>
                              <w:tc>
                                <w:tcPr>
                                  <w:tcW w:w="7876" w:type="dxa"/>
                                  <w:gridSpan w:val="11"/>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Mélange</w:t>
                                  </w:r>
                                </w:p>
                              </w:tc>
                            </w:tr>
                            <w:tr>
                              <w:trPr>
                                <w:trHeight w:val="221" w:hRule="atLeast"/>
                              </w:trPr>
                              <w:tc>
                                <w:tcPr>
                                  <w:tcW w:w="2264"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Code produit</w:t>
                                  </w:r>
                                </w:p>
                              </w:tc>
                              <w:tc>
                                <w:tcPr>
                                  <w:tcW w:w="7876" w:type="dxa"/>
                                  <w:gridSpan w:val="11"/>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FDS Casa Loca</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1.2 - Utilisations identifiées pertinentes de la substance ou du mélange et utilisations déconseillées</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5666"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Utilisations identifiées pertinentes</w:t>
                                  </w:r>
                                </w:p>
                              </w:tc>
                              <w:tc>
                                <w:tcPr>
                                  <w:tcW w:w="4474"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Usage consommateur,Usage professionnel</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1.3 - Renseignements concernant le fournisseur de la fiche de données de sécurité</w:t>
                                  </w:r>
                                </w:p>
                              </w:tc>
                            </w:tr>
                            <w:tr>
                              <w:trPr>
                                <w:trHeight w:val="1103"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Casa Loca</w:t>
                                  </w:r>
                                </w:p>
                                <w:p>
                                  <w:pPr>
                                    <w:spacing w:before="0" w:after="0" w:line="200" w:lineRule="exact"/>
                                    <w:jc w:val="left"/>
                                  </w:pPr>
                                  <w:r>
                                    <w:rPr>
                                      <w:rFonts w:ascii="Arial" w:hAnsi="Arial" w:cs="Arial"/>
                                      <w:b w:val="false"/>
                                      <w:i w:val="false"/>
                                      <w:strike w:val="false"/>
                                      <w:color w:val="000000"/>
                                      <w:spacing w:val="0"/>
                                      <w:sz w:val="20"/>
                                      <w:u w:val="none"/>
                                    </w:rPr>
                                    <w:t xml:space="preserve">214 rue gornet boivin</w:t>
                                  </w:r>
                                </w:p>
                                <w:p>
                                  <w:pPr>
                                    <w:spacing w:before="0" w:after="0" w:line="200" w:lineRule="exact"/>
                                    <w:jc w:val="left"/>
                                  </w:pPr>
                                  <w:r>
                                    <w:rPr>
                                      <w:rFonts w:ascii="Arial" w:hAnsi="Arial" w:cs="Arial"/>
                                      <w:b w:val="false"/>
                                      <w:i w:val="false"/>
                                      <w:strike w:val="false"/>
                                      <w:color w:val="000000"/>
                                      <w:spacing w:val="0"/>
                                      <w:sz w:val="20"/>
                                      <w:u w:val="none"/>
                                    </w:rPr>
                                    <w:t xml:space="preserve">10100 Romilly sur seine France</w:t>
                                  </w:r>
                                </w:p>
                                <w:p>
                                  <w:pPr>
                                    <w:spacing w:before="0" w:after="0" w:line="200" w:lineRule="exact"/>
                                    <w:jc w:val="left"/>
                                  </w:pPr>
                                  <w:r>
                                    <w:rPr>
                                      <w:rFonts w:ascii="Arial" w:hAnsi="Arial" w:cs="Arial"/>
                                      <w:b w:val="false"/>
                                      <w:i w:val="false"/>
                                      <w:strike w:val="false"/>
                                      <w:color w:val="000000"/>
                                      <w:spacing w:val="0"/>
                                      <w:sz w:val="20"/>
                                      <w:u w:val="none"/>
                                    </w:rPr>
                                    <w:t xml:space="preserve">Téléphone : 0632985205</w:t>
                                  </w:r>
                                </w:p>
                                <w:p>
                                  <w:pPr>
                                    <w:spacing w:before="0" w:after="0" w:line="200" w:lineRule="exact"/>
                                    <w:jc w:val="left"/>
                                  </w:pPr>
                                  <w:r>
                                    <w:rPr>
                                      <w:rFonts w:ascii="Arial" w:hAnsi="Arial" w:cs="Arial"/>
                                      <w:b w:val="false"/>
                                      <w:i w:val="false"/>
                                      <w:strike w:val="false"/>
                                      <w:color w:val="000000"/>
                                      <w:spacing w:val="0"/>
                                      <w:sz w:val="20"/>
                                      <w:u w:val="none"/>
                                    </w:rPr>
                                    <w:t xml:space="preserve">Site web www.sublimatelier.fr</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1.4 - Numéro d’appel d’urgence</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ORFILA + 33 (0)1 45 42 59 59 France</w:t>
                                  </w:r>
                                </w:p>
                              </w:tc>
                            </w:tr>
                            <w:tr>
                              <w:trPr>
                                <w:trHeight w:val="284"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1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2: Identification des dangers</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2.1 - Classification de la substance ou du mélange</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Classification selon règlement (CE) N° 1272/2008 [CLP]</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2546"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Aquatic Chronic 2</w:t>
                                  </w:r>
                                </w:p>
                              </w:tc>
                              <w:tc>
                                <w:tcPr>
                                  <w:tcW w:w="7592" w:type="dxa"/>
                                  <w:gridSpan w:val="9"/>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Danger pour l'environnement aquatique - Aquatic Chronic 2</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2.2 - Éléments d'étiquetage</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1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étiquetage selon le règlement (CE) N° 1272/2008 [CLP]</w:t>
                                  </w: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Mention d'avertissement</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7082" w:type="dxa"/>
                                  <w:gridSpan w:val="8"/>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w:t>
                                  </w:r>
                                </w:p>
                              </w:tc>
                            </w:tr>
                            <w:tr>
                              <w:trPr>
                                <w:trHeight w:val="1361" w:hRule="exact"/>
                              </w:trPr>
                              <w:tc>
                                <w:tcPr>
                                  <w:tcW w:w="3340"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Pictogrammes des risques</w:t>
                                  </w:r>
                                </w:p>
                              </w:tc>
                              <w:tc>
                                <w:tcPr>
                                  <w:tcW w:w="1130"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648000" cy="864000"/>
                                        <wp:effectExtent l="0" t="0" r="0" b="0"/>
                                        <wp:docPr id="13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15">
                                                  <a:extLst>
                                                    <a:ext uri="{28A0092B-C50C-407E-A947-70E740481C1C}">
                                                      <a14:useLocalDpi xmlns:a14="http://schemas.microsoft.com/office/drawing/2010/main" val="0"/>
                                                    </a:ext>
                                                  </a:extLst>
                                                </a:blip>
                                                <a:stretch>
                                                  <a:fillRect/>
                                                </a:stretch>
                                              </pic:blipFill>
                                              <pic:spPr>
                                                <a:xfrm>
                                                  <a:off x="0" y="0"/>
                                                  <a:ext cx="648000" cy="864000"/>
                                                </a:xfrm>
                                                <a:prstGeom prst="rect">
                                                  <a:avLst/>
                                                </a:prstGeom>
                                              </pic:spPr>
                                            </pic:pic>
                                          </a:graphicData>
                                        </a:graphic>
                                      </wp:inline>
                                    </w:drawing>
                                  </w:r>
                                </w:p>
                              </w:tc>
                              <w:tc>
                                <w:tcPr>
                                  <w:tcW w:w="1130"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c>
                                <w:tcPr>
                                  <w:tcW w:w="1130" w:type="dxa"/>
                                  <w:gridSpan w:val="2"/>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c>
                                <w:tcPr>
                                  <w:tcW w:w="1130"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c>
                                <w:tcPr>
                                  <w:tcW w:w="1130"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c>
                                <w:tcPr>
                                  <w:tcW w:w="1130"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Mentions de danger</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8"/>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56" w:type="dxa"/>
                                    <w:left w:w="56" w:type="dxa"/>
                                    <w:bottom w:w="56"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H411</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Toxique pour les organismes aquatiques, entraîne des effets néfastes à long terme.</w:t>
                                  </w:r>
                                </w:p>
                              </w:tc>
                            </w:tr>
                            <w:tr>
                              <w:trPr>
                                <w:trHeight w:val="221"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Conseils de prudence</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8"/>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84" w:hRule="exact"/>
                              </w:trPr>
                              <w:tc>
                                <w:tcPr>
                                  <w:tcW w:w="-4" w:type="dxa"/>
                                  <w:gridSpan w:val="1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P101</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En cas de consultation d'un médecin, garder à disposition le récipient ou l'étiquette.</w:t>
                                  </w:r>
                                </w:p>
                              </w:tc>
                            </w:tr>
                            <w:tr>
                              <w:trPr>
                                <w:trHeight w:val="211"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P102</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Tenir hors de portée des enfants.</w:t>
                                  </w:r>
                                </w:p>
                              </w:tc>
                            </w:tr>
                            <w:tr>
                              <w:trPr>
                                <w:trHeight w:val="211"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P103</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Lire attentivement et bien respecter toutes les instructions.</w:t>
                                  </w:r>
                                </w:p>
                              </w:tc>
                            </w:tr>
                            <w:tr>
                              <w:trPr>
                                <w:trHeight w:val="211"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P273</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Éviter le rejet dans l'environnement.</w:t>
                                  </w:r>
                                </w:p>
                              </w:tc>
                            </w:tr>
                            <w:tr>
                              <w:trPr>
                                <w:trHeight w:val="211"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P391</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Recueillir le produit répandu.</w:t>
                                  </w:r>
                                </w:p>
                              </w:tc>
                            </w:tr>
                            <w:tr>
                              <w:trPr>
                                <w:trHeight w:val="431"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P501</w:t>
                                  </w:r>
                                </w:p>
                              </w:tc>
                              <w:tc>
                                <w:tcPr>
                                  <w:tcW w:w="7650" w:type="dxa"/>
                                  <w:gridSpan w:val="10"/>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Éliminer le contenu/le récipient dans une installation de recyclage ou d'élimination des déchets approuvée conformément à la réglementation locale.</w:t>
                                  </w:r>
                                </w:p>
                              </w:tc>
                            </w:tr>
                            <w:tr>
                              <w:trPr>
                                <w:trHeight w:val="221" w:hRule="atLeast"/>
                              </w:trPr>
                              <w:tc>
                                <w:tcPr>
                                  <w:tcW w:w="249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Phrases EUH</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7082" w:type="dxa"/>
                                  <w:gridSpan w:val="8"/>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bl>
                          <w:tbl>
                            <w:tblPr>
                              <w:tblLayout w:type="fixed"/>
                              <w:tblInd w:w="0" w:type="dxa"/>
                              <w:tblCellMar>
                                <w:left w:w="0" w:type="dxa"/>
                                <w:right w:w="0" w:type="dxa"/>
                              </w:tblCellMar>
                            </w:tblPr>
                            <w:tblGrid>
                              <w:gridCol w:w="2268"/>
                              <w:gridCol w:w="226"/>
                              <w:gridCol w:w="340"/>
                              <w:gridCol w:w="1702"/>
                              <w:gridCol w:w="1078"/>
                              <w:gridCol w:w="2268"/>
                              <w:gridCol w:w="2268"/>
                            </w:tblGrid>
                            <w:tr>
                              <w:trPr>
                                <w:trHeight w:val="652" w:hRule="atLeast"/>
                              </w:trPr>
                              <w:tc>
                                <w:tcPr>
                                  <w:tcW w:w="2490" w:type="dxa"/>
                                  <w:gridSpan w:val="2"/>
                                  <w:tcBorders>
                                    <w:top w:val="single" w:color="B4B4B4" w:sz="4"/>
                                    <w:left w:val="single" w:color="B4B4B4" w:sz="4"/>
                                    <w:bottom w:val="single" w:color="B4B4B4" w:sz="4"/>
                                    <w:right w:val="single" w:color="B4B4B4" w:sz="4"/>
                                  </w:tcBorders>
                                  <w:shd w:val="clear" w:color="auto" w:fill="FBFBFB"/>
                                  <w:tcMar>
                                    <w:top w:w="56" w:type="dxa"/>
                                    <w:left w:w="56" w:type="dxa"/>
                                    <w:bottom w:w="56"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EUH208</w:t>
                                  </w:r>
                                </w:p>
                              </w:tc>
                              <w:tc>
                                <w:tcPr>
                                  <w:tcW w:w="7650" w:type="dxa"/>
                                  <w:gridSpan w:val="5"/>
                                  <w:tcBorders>
                                    <w:top w:val="single" w:color="B4B4B4" w:sz="4"/>
                                    <w:left w:val="single" w:color="B4B4B4" w:sz="4"/>
                                    <w:bottom w:val="single" w:color="B4B4B4" w:sz="4"/>
                                    <w:right w:val="single" w:color="B4B4B4"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Contient Coumarin (91-64-5) | 1-(1,2,3,4,5,6,7,8-octahydro-2,3,8,8-tetramethyl-2-naphthyl)ethan-1-one (54464-57-2) . Peut produire une réaction allergique.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2.3 - Autres dangers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1103" w:hRule="atLeast"/>
                              </w:trPr>
                              <w:tc>
                                <w:tcPr>
                                  <w:tcW w:w="4532"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Substance PBT.</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Ce mélange ne contient aucune substance présentant un danger pour la santé ou l'environnement au sens du règlement (CE) n° 1272/2008, soumise à une limite d'exposition communautaire sur le lieu de travail, classée PBT/vPvB ou incluse dans la liste des substances candidates.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882" w:hRule="atLeast"/>
                              </w:trPr>
                              <w:tc>
                                <w:tcPr>
                                  <w:tcW w:w="4532"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matière vPvB.</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 mélange contient &gt;= 0,1 % de substances répondant aux critères vPvB conformément au règlement (CE) n° 1907/2006, annexe XIII. Voir la SECTION 3 de cette fiche de données de sécurité.</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4532"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Autres dangers n'entraînant pas la classification</w:t>
                                  </w:r>
                                </w:p>
                              </w:tc>
                              <w:tc>
                                <w:tcPr>
                                  <w:tcW w:w="5608"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Conformément au règlement (UE) 1907/2006, aucune substance n'est évaluée comme PBT ou vPvB.</w:t>
                                  </w:r>
                                </w:p>
                              </w:tc>
                            </w:tr>
                            <w:tr>
                              <w:trPr>
                                <w:trHeight w:val="284"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7"/>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3: Composition / informations sur les composants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3.1 - Substances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Non applicable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3.2 - Mélanges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170"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Nom chimique</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Classe(s)</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Concentrations spécifiques</w:t>
                                  </w:r>
                                </w:p>
                              </w:tc>
                            </w:tr>
                            <w:tr>
                              <w:trPr>
                                <w:trHeight w:val="70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1,3,4,6,7,8-hexahydro-4,6,6,7, 8,8-hexaméthylindéno[5,6-c]p yrane, galaxolide, (HHCB)</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1222-05-5</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 603-212-00-7</w:t>
                                  </w:r>
                                </w:p>
                                <w:p>
                                  <w:pPr>
                                    <w:spacing w:before="0" w:after="0" w:line="160" w:lineRule="exact"/>
                                    <w:jc w:val="left"/>
                                  </w:pPr>
                                  <w:r>
                                    <w:rPr>
                                      <w:rFonts w:ascii="Arial" w:hAnsi="Arial" w:cs="Arial"/>
                                      <w:b w:val="false"/>
                                      <w:i w:val="false"/>
                                      <w:strike w:val="false"/>
                                      <w:color w:val="000000"/>
                                      <w:spacing w:val="0"/>
                                      <w:sz w:val="16"/>
                                      <w:u w:val="none"/>
                                    </w:rPr>
                                    <w:t xml:space="preserve">N°CE : 214-946-9</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3,577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Aquatic Acute 1 - H400</w:t>
                                  </w:r>
                                </w:p>
                                <w:p>
                                  <w:pPr>
                                    <w:spacing w:before="0" w:after="0" w:line="160" w:lineRule="exact"/>
                                    <w:jc w:val="left"/>
                                  </w:pPr>
                                  <w:r>
                                    <w:rPr>
                                      <w:rFonts w:ascii="Arial" w:hAnsi="Arial" w:cs="Arial"/>
                                      <w:b w:val="false"/>
                                      <w:i w:val="false"/>
                                      <w:strike w:val="false"/>
                                      <w:color w:val="000000"/>
                                      <w:spacing w:val="0"/>
                                      <w:sz w:val="16"/>
                                      <w:u w:val="none"/>
                                    </w:rPr>
                                    <w:t xml:space="preserve">Aquatic Chronic 1 - H410</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Non applicable</w:t>
                                  </w:r>
                                </w:p>
                              </w:tc>
                            </w:tr>
                            <w:tr>
                              <w:trPr>
                                <w:trHeight w:val="70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benzoate de benzyle</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120-51-4</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 607-085-00-9</w:t>
                                  </w:r>
                                </w:p>
                                <w:p>
                                  <w:pPr>
                                    <w:spacing w:before="0" w:after="0" w:line="160" w:lineRule="exact"/>
                                    <w:jc w:val="left"/>
                                  </w:pPr>
                                  <w:r>
                                    <w:rPr>
                                      <w:rFonts w:ascii="Arial" w:hAnsi="Arial" w:cs="Arial"/>
                                      <w:b w:val="false"/>
                                      <w:i w:val="false"/>
                                      <w:strike w:val="false"/>
                                      <w:color w:val="000000"/>
                                      <w:spacing w:val="0"/>
                                      <w:sz w:val="16"/>
                                      <w:u w:val="none"/>
                                    </w:rPr>
                                    <w:t xml:space="preserve">N°CE : 204-402-9</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2,1595</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Acute Tox. 4 Oral - H302</w:t>
                                  </w:r>
                                </w:p>
                                <w:p>
                                  <w:pPr>
                                    <w:spacing w:before="0" w:after="0" w:line="160" w:lineRule="exact"/>
                                    <w:jc w:val="left"/>
                                  </w:pPr>
                                  <w:r>
                                    <w:rPr>
                                      <w:rFonts w:ascii="Arial" w:hAnsi="Arial" w:cs="Arial"/>
                                      <w:b w:val="false"/>
                                      <w:i w:val="false"/>
                                      <w:strike w:val="false"/>
                                      <w:color w:val="000000"/>
                                      <w:spacing w:val="0"/>
                                      <w:sz w:val="16"/>
                                      <w:u w:val="none"/>
                                    </w:rPr>
                                    <w:t xml:space="preserve">Aquatic Acute 1 - H400</w:t>
                                  </w:r>
                                </w:p>
                                <w:p>
                                  <w:pPr>
                                    <w:spacing w:before="0" w:after="0" w:line="160" w:lineRule="exact"/>
                                    <w:jc w:val="left"/>
                                  </w:pPr>
                                  <w:r>
                                    <w:rPr>
                                      <w:rFonts w:ascii="Arial" w:hAnsi="Arial" w:cs="Arial"/>
                                      <w:b w:val="false"/>
                                      <w:i w:val="false"/>
                                      <w:strike w:val="false"/>
                                      <w:color w:val="000000"/>
                                      <w:spacing w:val="0"/>
                                      <w:sz w:val="16"/>
                                      <w:u w:val="none"/>
                                    </w:rPr>
                                    <w:t xml:space="preserve">Aquatic Chronic 2 - H411</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Non applicable</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Coumarin</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91-64-5</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60" w:lineRule="exact"/>
                                    <w:jc w:val="left"/>
                                  </w:pPr>
                                  <w:r>
                                    <w:rPr>
                                      <w:rFonts w:ascii="Arial" w:hAnsi="Arial" w:cs="Arial"/>
                                      <w:b w:val="false"/>
                                      <w:i w:val="false"/>
                                      <w:strike w:val="false"/>
                                      <w:color w:val="000000"/>
                                      <w:spacing w:val="0"/>
                                      <w:sz w:val="16"/>
                                      <w:u w:val="none"/>
                                    </w:rPr>
                                    <w:t xml:space="preserve">N°CE : 202-086-7</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0,9205</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Acute Tox. 3 Oral - H301</w:t>
                                  </w:r>
                                </w:p>
                                <w:p>
                                  <w:pPr>
                                    <w:spacing w:before="0" w:after="0" w:line="16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Non applicable</w:t>
                                  </w:r>
                                </w:p>
                              </w:tc>
                            </w:tr>
                            <w:tr>
                              <w:trPr>
                                <w:trHeight w:val="529" w:hRule="atLeast"/>
                              </w:trPr>
                              <w:tc>
                                <w:tcPr>
                                  <w:tcW w:w="2264"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1-(1,2,3,4,5,6,7,8-octahydro-2 ,3,8,8-tetramethyl-2-naphthyl) ethan-1-one</w:t>
                                  </w:r>
                                </w:p>
                              </w:tc>
                              <w:tc>
                                <w:tcPr>
                                  <w:tcW w:w="2264" w:type="dxa"/>
                                  <w:gridSpan w:val="3"/>
                                  <w:tcBorders>
                                    <w:top w:val="single" w:color="808080" w:sz="4"/>
                                    <w:left w:val="single" w:color="808080" w:sz="4"/>
                                    <w:bottom w:val="single" w:color="808080" w:sz="4"/>
                                    <w:right w:val="single" w:color="80808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n°CAS : 54464-57-2</w:t>
                                  </w:r>
                                </w:p>
                                <w:p>
                                  <w:pPr>
                                    <w:spacing w:before="0" w:after="0" w:line="160" w:lineRule="exact"/>
                                    <w:jc w:val="left"/>
                                  </w:pPr>
                                  <w:r>
                                    <w:rPr>
                                      <w:rFonts w:ascii="Arial" w:hAnsi="Arial" w:cs="Arial"/>
                                      <w:b w:val="false"/>
                                      <w:i w:val="false"/>
                                      <w:strike w:val="false"/>
                                      <w:color w:val="000000"/>
                                      <w:spacing w:val="0"/>
                                      <w:sz w:val="16"/>
                                      <w:u w:val="none"/>
                                    </w:rPr>
                                    <w:t xml:space="preserve">Numéro d´identification UE :</w:t>
                                  </w:r>
                                </w:p>
                                <w:p>
                                  <w:pPr>
                                    <w:spacing w:before="0" w:after="0" w:line="160" w:lineRule="exact"/>
                                    <w:jc w:val="left"/>
                                  </w:pPr>
                                  <w:r>
                                    <w:rPr>
                                      <w:rFonts w:ascii="Arial" w:hAnsi="Arial" w:cs="Arial"/>
                                      <w:b w:val="false"/>
                                      <w:i w:val="false"/>
                                      <w:strike w:val="false"/>
                                      <w:color w:val="000000"/>
                                      <w:spacing w:val="0"/>
                                      <w:sz w:val="16"/>
                                      <w:u w:val="none"/>
                                    </w:rPr>
                                    <w:t xml:space="preserve">N°CE : 259-174-3</w:t>
                                  </w:r>
                                </w:p>
                              </w:tc>
                              <w:tc>
                                <w:tcPr>
                                  <w:tcW w:w="107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0,1</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Aquatic Chronic 1 - H410</w:t>
                                  </w:r>
                                </w:p>
                                <w:p>
                                  <w:pPr>
                                    <w:spacing w:before="0" w:after="0" w:line="160" w:lineRule="exact"/>
                                    <w:jc w:val="left"/>
                                  </w:pPr>
                                  <w:r>
                                    <w:rPr>
                                      <w:rFonts w:ascii="Arial" w:hAnsi="Arial" w:cs="Arial"/>
                                      <w:b w:val="false"/>
                                      <w:i w:val="false"/>
                                      <w:strike w:val="false"/>
                                      <w:color w:val="000000"/>
                                      <w:spacing w:val="0"/>
                                      <w:sz w:val="16"/>
                                      <w:u w:val="none"/>
                                    </w:rPr>
                                    <w:t xml:space="preserve">Eye Irrit. 2 - H319</w:t>
                                  </w:r>
                                </w:p>
                                <w:p>
                                  <w:pPr>
                                    <w:spacing w:before="0" w:after="0" w:line="160" w:lineRule="exact"/>
                                    <w:jc w:val="left"/>
                                  </w:pPr>
                                  <w:r>
                                    <w:rPr>
                                      <w:rFonts w:ascii="Arial" w:hAnsi="Arial" w:cs="Arial"/>
                                      <w:b w:val="false"/>
                                      <w:i w:val="false"/>
                                      <w:strike w:val="false"/>
                                      <w:color w:val="000000"/>
                                      <w:spacing w:val="0"/>
                                      <w:sz w:val="16"/>
                                      <w:u w:val="none"/>
                                    </w:rPr>
                                    <w:t xml:space="preserve">Skin Sens. 1B - H317</w:t>
                                  </w:r>
                                </w:p>
                              </w:tc>
                              <w:tc>
                                <w:tcPr>
                                  <w:tcW w:w="226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160" w:lineRule="exact"/>
                                    <w:jc w:val="left"/>
                                  </w:pPr>
                                  <w:r>
                                    <w:rPr>
                                      <w:rFonts w:ascii="Arial" w:hAnsi="Arial" w:cs="Arial"/>
                                      <w:b w:val="false"/>
                                      <w:i w:val="false"/>
                                      <w:strike w:val="false"/>
                                      <w:color w:val="000000"/>
                                      <w:spacing w:val="0"/>
                                      <w:sz w:val="16"/>
                                      <w:u w:val="none"/>
                                    </w:rPr>
                                    <w:t xml:space="preserve">Non applicable</w:t>
                                  </w:r>
                                </w:p>
                              </w:tc>
                            </w:tr>
                            <w:tr>
                              <w:trPr>
                                <w:trHeight w:val="284"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7"/>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4: Premiers secours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4.1 - Description des mesures de premiers secours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En cas d'inhalation</w:t>
                                  </w: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Transporter la personne affectée en position allongée, en cas d'essoufflement en position semi-assise.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Après contact avec la peau</w:t>
                                  </w: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Après contact avec la peau, laver immédiatement et abondamment avec de l'eau et du savon.</w:t>
                                  </w:r>
                                </w:p>
                              </w:tc>
                            </w:tr>
                            <w:tr>
                              <w:trPr>
                                <w:trHeight w:val="221" w:hRule="atLeast"/>
                              </w:trPr>
                              <w:tc>
                                <w:tcPr>
                                  <w:tcW w:w="2830"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Changer les vêtements contaminés et saturés.</w:t>
                                  </w:r>
                                </w:p>
                              </w:tc>
                            </w:tr>
                            <w:tr>
                              <w:trPr>
                                <w:trHeight w:val="221" w:hRule="atLeast"/>
                              </w:trPr>
                              <w:tc>
                                <w:tcPr>
                                  <w:tcW w:w="2830"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 cas de réactions cutanées, consulter un médecin.</w:t>
                                  </w:r>
                                </w:p>
                              </w:tc>
                            </w:tr>
                            <w:tr>
                              <w:trPr>
                                <w:trHeight w:val="221" w:hRule="atLeast"/>
                              </w:trPr>
                              <w:tc>
                                <w:tcPr>
                                  <w:tcW w:w="2830"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Consulter impérativement un médecin.</w:t>
                                  </w:r>
                                </w:p>
                              </w:tc>
                            </w:tr>
                            <w:tr>
                              <w:trPr>
                                <w:trHeight w:val="221" w:hRule="atLeast"/>
                              </w:trPr>
                              <w:tc>
                                <w:tcPr>
                                  <w:tcW w:w="2830"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Enlever immédiatement les vêtement souillés, imprégnés.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Après contact avec les yeux</w:t>
                                  </w: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Après contact avec les yeux, rincer à l'eau les paupières ouvertes suffisamment longtemps, puis consulter immédiatement un ophtalmologiste.</w:t>
                                  </w:r>
                                </w:p>
                              </w:tc>
                            </w:tr>
                          </w:tbl>
                          <w:tbl>
                            <w:tblPr>
                              <w:tblLayout w:type="fixed"/>
                              <w:tblInd w:w="0" w:type="dxa"/>
                              <w:tblCellMar>
                                <w:left w:w="0" w:type="dxa"/>
                                <w:right w:w="0" w:type="dxa"/>
                              </w:tblCellMar>
                            </w:tblPr>
                            <w:tblGrid>
                              <w:gridCol w:w="2836"/>
                              <w:gridCol w:w="7314"/>
                            </w:tblGrid>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 cas de contact avec les yeux, paupière ouverte rincer immédiatement à l'eau courante 10 à 15 minutes et consulter un ophtalmologiste.</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 cas d'irritation oculaire, consulter un ophtalmologue.</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Rincer soigneusement et abondamment avec une douche oculaire ou de l'eau.</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En cas d'ingestion</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 cas de doute ou si des symptômes sont observés, consulter un médecin.</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NE PAS faire vomir.</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Rincer la bouche abondamment à l'eau.</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4.2 - Principaux symptômes et effets, aigus et différés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Symptômes et effets - En cas  d'inhalation</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principaux symptômes et effets connus sont décrits sur l'étiquette (voir section 2.2) et/ou à l'article 11</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4.3 - Indication des éventuels soins médicaux immédiats et traitements particuliers nécessaires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5: Mesures de lutte contre l'incendie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5.1 - Moyens d'extinction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Moyens d'extinction  appropriés</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ABC-poudre</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Dioxyde de carbone (CO2)</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Sable</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Mousse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Moyens d'extinction  inappropriés</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Jet d'eau puissant</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5.2 - Dangers particuliers résultant de la substance ou du mélange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662"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Dangers particuliers résultant  de la substance ou du  mélange</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La formation de gaz toxiques est possible pendant le chauffage ou en cas d'incendie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Produits de décomposition  dangereux</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5.3 - Conseils aux pompiers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Collecter séparément les eaux d'extinction contaminées. Elles ne doivent pas être déversées dans les égouts.</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Coordonner les mesures de lutte contre l'incendie en fonction de l'environnement.</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Coordonner les mesures de lutte contre l'incendie en fonction de l'environnement.</w:t>
                                  </w: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Déplacer les récipients non endommagés hors de la zone de danger immédiat si cela peut être fait en toute sécurité.</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Ne pas inhaler les gaz d'explosion et de combustion.</w:t>
                                  </w: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Soyez prudent lorsque vous appliquez du dioxyde de carbone dans des espaces confinés. Le dioxyde de carbone peut déplacer l'oxygène.</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Utiliser un jet d'eau pour protéger le personnel et refroidir les récipients en danger.</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6: Mesures à prendre en cas de dispersion accidentelle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6.1 - Précautions individuelles, équipement de protection et procédures d’urgence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Pour les non-secouristes</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Assurer une aération suffisante.</w:t>
                                  </w:r>
                                </w:p>
                              </w:tc>
                            </w:tr>
                          </w:tbl>
                          <w:tbl>
                            <w:tblPr>
                              <w:tblLayout w:type="fixed"/>
                              <w:tblInd w:w="0" w:type="dxa"/>
                              <w:tblCellMar>
                                <w:left w:w="0" w:type="dxa"/>
                                <w:right w:w="0" w:type="dxa"/>
                              </w:tblCellMar>
                            </w:tblPr>
                            <w:tblGrid>
                              <w:gridCol w:w="2836"/>
                              <w:gridCol w:w="7314"/>
                            </w:tblGrid>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Evacuer les personnes en lieu sûr.</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Utiliser un équipement de protection personnel.</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Utiliser une protection respiratoire adéquate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Pour les secouristes</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Mettre les personnes en lieu sûr.</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Utiliser un équipement de protection individuelle.</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Portez des gants de protection.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6.2 - Précautions pour la protection de l’environnement</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Empêcher la pénétration dans le sol, les fossés, les égouts, les cours d'eau et les eaux souterraines.</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Empêcher la propagation sur une large zone (par exemple, par un confinement ou des barrières pétrolières).</w:t>
                                  </w: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Empêcher toute pénétration dans les égouts et les eaux publiques. Prévenir les autorités si le liquide pénètre dans les égouts ou les eaux publiques.</w:t>
                                  </w: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En cas de fuite de gaz ou de pénétration dans les cours d'eau, le sol ou les égouts, informer les autorités responsables.</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Ne pas laisser pénétrer dans le sol/sous-sol.</w:t>
                                  </w: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S'assurer que les déversements peuvent être contenus, par exemple dans des palettes de rétention ou des zones à bordures.</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Veiller à ce que toutes les eaux usées soient collectées et traitées par une station d'épuration.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6.3 - Méthodes et matériel de confinement et de nettoyage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Méthodes et matériel de  confinement</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Méthodes et matériel de  nettoyage</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Absorber avec un matériau liant les liquides ( p. ex. sable, terre de diatomées, liants acides ou universels).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Ventiler la zone affectée.</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Absorber avec un matériau liant les liquides (par ex. sable, terre de diatomées, liants acides ou universels).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Essuyer avec un matériau absorbant (p. ex. tissu, molleton).</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Nettoyer soigneusement les objets et les zones contaminés en respectant les réglementations environnementales.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Pomper/recueillir le produit libéré dans des récipients appropriés.</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Ramasser mécaniquement et placer dans des conteneurs appropriés en vue de l'élimination.</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Traiter les matériaux récupérés comme indiqué dans la section relative à l'élimination des déchets.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Techniques inappropriées</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6.4 - Référence à d'autres rubriques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Élimination : voir section 13</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Equipement de protection individuelle : voir rubrique 8</w:t>
                                  </w: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Manipulation sûre : voir section 7</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7: Manipulation et stockage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7.1 - Précautions à prendre pour une manipulation sans danger</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Recommandation</w:t>
                                  </w: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Éviter de:Contact avec la peau</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Porter des vêtements de protection individuelle (voir section 8).</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Manipuler la substance uniquement dans des installations ou systèmes fermés.</w:t>
                                  </w:r>
                                </w:p>
                              </w:tc>
                            </w:tr>
                          </w:tbl>
                          <w:tbl>
                            <w:tblPr>
                              <w:tblLayout w:type="fixed"/>
                              <w:tblInd w:w="0" w:type="dxa"/>
                              <w:tblCellMar>
                                <w:left w:w="0" w:type="dxa"/>
                                <w:right w:w="0" w:type="dxa"/>
                              </w:tblCellMar>
                            </w:tblPr>
                            <w:tblGrid>
                              <w:gridCol w:w="2836"/>
                              <w:gridCol w:w="5386"/>
                              <w:gridCol w:w="1928"/>
                            </w:tblGrid>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s'assurer d'une ventilation suffisante et d'une aspiration ponctuelle au niveau des points critiques.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Utiliser seulement dans des zones bien ventilées.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Aspirer les vapeurs/aérosols directement à l'endroit où ils se forment.</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Concevoir en règle générale tous les procédés de travail de manière à exclure les risques suivants:Inhalation des vapeurs ou brouillards/aérosols</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Des vapeurs inflammables peuvent s'accumuler dans l'espace libre des systèmes fermés.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Éviter de respirer les vapeurs, le brouillard, les pulvérisations et les fumées.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vapeurs peuvent former avec l'air un mélange explosif.</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vapeurs/aérosols doivent être évacués directement au point d'origine.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Notice explicative sur l'hygiène industrielle générale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Se laver les mains avant les pauses et après le travail.</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Changer immédiatement tout vêtement, chaussures ou chaussettes souillés.</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Laver les vêtements souillés avant de les réutiliser.</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vêtements de travail utilisés ne doivent pas être portés en-dehors de la zone de travail.</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Travailler dans des zones bien ventilées ou avec un masque respiratoire à filtre.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7.2 - Conditions d’un stockage sûr, y compris les éventuelles incompatibilités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Conserver/stocker uniquement dans le récipient d'origine.</w:t>
                                  </w: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Maintenir le recipient vertical afin d'eviter les fuites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7.3 - Utilisation(s) finale(s) particulière(s)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Respecter la fiche technique.</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8: Contrôles de l’exposition/protection individuelle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8.1 - Paramètres de contrôle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8.2 - Contrôles de l'exposition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Contrôles techniques  appropriés</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Assurer une ventilation adéquate.</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mesures techniques et l'utilisation de méthodes de travail adéquates sont prioritaires sur les équipements de protections individuelles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882"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Mesures de protection  individuelle, telles que les  équipements de protection  individuelle</w:t>
                                  </w: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NBR (caoutchouc nitrile).</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1134"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Appareil de protection respiratoire approprié:Appareil avec filtre à particules (EN 143)</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1152000" cy="720000"/>
                                        <wp:effectExtent l="0" t="0" r="0" b="0"/>
                                        <wp:docPr id="18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20">
                                                  <a:extLst>
                                                    <a:ext uri="{28A0092B-C50C-407E-A947-70E740481C1C}">
                                                      <a14:useLocalDpi xmlns:a14="http://schemas.microsoft.com/office/drawing/2010/main" val="0"/>
                                                    </a:ext>
                                                  </a:extLst>
                                                </a:blip>
                                                <a:stretch>
                                                  <a:fillRect/>
                                                </a:stretch>
                                              </pic:blipFill>
                                              <pic:spPr>
                                                <a:xfrm>
                                                  <a:off x="0" y="0"/>
                                                  <a:ext cx="1152000" cy="720000"/>
                                                </a:xfrm>
                                                <a:prstGeom prst="rect">
                                                  <a:avLst/>
                                                </a:prstGeom>
                                              </pic:spPr>
                                            </pic:pic>
                                          </a:graphicData>
                                        </a:graphic>
                                      </wp:inline>
                                    </w:drawing>
                                  </w:r>
                                </w:p>
                              </w:tc>
                            </w:tr>
                            <w:tr>
                              <w:trPr>
                                <w:trHeight w:val="1134" w:hRule="exac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Gants de protection</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1152000" cy="720000"/>
                                        <wp:effectExtent l="0" t="0" r="0" b="0"/>
                                        <wp:docPr id="18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21">
                                                  <a:extLst>
                                                    <a:ext uri="{28A0092B-C50C-407E-A947-70E740481C1C}">
                                                      <a14:useLocalDpi xmlns:a14="http://schemas.microsoft.com/office/drawing/2010/main" val="0"/>
                                                    </a:ext>
                                                  </a:extLst>
                                                </a:blip>
                                                <a:stretch>
                                                  <a:fillRect/>
                                                </a:stretch>
                                              </pic:blipFill>
                                              <pic:spPr>
                                                <a:xfrm>
                                                  <a:off x="0" y="0"/>
                                                  <a:ext cx="1152000" cy="720000"/>
                                                </a:xfrm>
                                                <a:prstGeom prst="rect">
                                                  <a:avLst/>
                                                </a:prstGeom>
                                              </pic:spPr>
                                            </pic:pic>
                                          </a:graphicData>
                                        </a:graphic>
                                      </wp:inline>
                                    </w:drawing>
                                  </w:r>
                                </w:p>
                              </w:tc>
                            </w:tr>
                          </w:tbl>
                          <w:tbl>
                            <w:tblPr>
                              <w:tblLayout w:type="fixed"/>
                              <w:tblInd w:w="0" w:type="dxa"/>
                              <w:tblCellMar>
                                <w:left w:w="0" w:type="dxa"/>
                                <w:right w:w="0" w:type="dxa"/>
                              </w:tblCellMar>
                            </w:tblPr>
                            <w:tblGrid>
                              <w:gridCol w:w="2552"/>
                              <w:gridCol w:w="284"/>
                              <w:gridCol w:w="2268"/>
                              <w:gridCol w:w="2552"/>
                              <w:gridCol w:w="568"/>
                              <w:gridCol w:w="1928"/>
                            </w:tblGrid>
                            <w:tr>
                              <w:trPr>
                                <w:trHeight w:val="882"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La qualité des gants de protection résistants aux produits chimiques doit être choisie en fonction de la concentration et de la quantité de substances dangereuses sur le lieu de travail.</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662"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Lors de la manipulation de substances chimiques, il convient de porter des gants de protection portant le label CE avec les quatre chiffres de contrôle.</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1134"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Lors de la manipulation de substances chimiques, porter exclusivement des gants spécial chimie pourvus d'un marquage CE, y compris du numéro de contrôle à quatre chiffres.</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1152000" cy="720000"/>
                                        <wp:effectExtent l="0" t="0" r="0" b="0"/>
                                        <wp:docPr id="19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23">
                                                  <a:extLst>
                                                    <a:ext uri="{28A0092B-C50C-407E-A947-70E740481C1C}">
                                                      <a14:useLocalDpi xmlns:a14="http://schemas.microsoft.com/office/drawing/2010/main" val="0"/>
                                                    </a:ext>
                                                  </a:extLst>
                                                </a:blip>
                                                <a:stretch>
                                                  <a:fillRect/>
                                                </a:stretch>
                                              </pic:blipFill>
                                              <pic:spPr>
                                                <a:xfrm>
                                                  <a:off x="0" y="0"/>
                                                  <a:ext cx="1152000" cy="720000"/>
                                                </a:xfrm>
                                                <a:prstGeom prst="rect">
                                                  <a:avLst/>
                                                </a:prstGeom>
                                              </pic:spPr>
                                            </pic:pic>
                                          </a:graphicData>
                                        </a:graphic>
                                      </wp:inline>
                                    </w:drawing>
                                  </w:r>
                                </w:p>
                              </w:tc>
                            </w:tr>
                            <w:tr>
                              <w:trPr>
                                <w:trHeight w:val="1134"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Porter les gants de protection homologués</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1152000" cy="720000"/>
                                        <wp:effectExtent l="0" t="0" r="0" b="0"/>
                                        <wp:docPr id="19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24">
                                                  <a:extLst>
                                                    <a:ext uri="{28A0092B-C50C-407E-A947-70E740481C1C}">
                                                      <a14:useLocalDpi xmlns:a14="http://schemas.microsoft.com/office/drawing/2010/main" val="0"/>
                                                    </a:ext>
                                                  </a:extLst>
                                                </a:blip>
                                                <a:stretch>
                                                  <a:fillRect/>
                                                </a:stretch>
                                              </pic:blipFill>
                                              <pic:spPr>
                                                <a:xfrm>
                                                  <a:off x="0" y="0"/>
                                                  <a:ext cx="1152000" cy="720000"/>
                                                </a:xfrm>
                                                <a:prstGeom prst="rect">
                                                  <a:avLst/>
                                                </a:prstGeom>
                                              </pic:spPr>
                                            </pic:pic>
                                          </a:graphicData>
                                        </a:graphic>
                                      </wp:inline>
                                    </w:drawing>
                                  </w:r>
                                </w:p>
                              </w:tc>
                            </w:tr>
                            <w:tr>
                              <w:trPr>
                                <w:trHeight w:val="882"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Pour des usages particuliers, il est recommandé de vérifier la résistance aux produits chimiques des gants de protection mentionnés ci-dessus avec le fournisseur de ces gants.</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1134"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Protection du corps appropriée:blouse de laboratoire</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1152000" cy="720000"/>
                                        <wp:effectExtent l="0" t="0" r="0" b="0"/>
                                        <wp:docPr id="19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25">
                                                  <a:extLst>
                                                    <a:ext uri="{28A0092B-C50C-407E-A947-70E740481C1C}">
                                                      <a14:useLocalDpi xmlns:a14="http://schemas.microsoft.com/office/drawing/2010/main" val="0"/>
                                                    </a:ext>
                                                  </a:extLst>
                                                </a:blip>
                                                <a:stretch>
                                                  <a:fillRect/>
                                                </a:stretch>
                                              </pic:blipFill>
                                              <pic:spPr>
                                                <a:xfrm>
                                                  <a:off x="0" y="0"/>
                                                  <a:ext cx="1152000" cy="720000"/>
                                                </a:xfrm>
                                                <a:prstGeom prst="rect">
                                                  <a:avLst/>
                                                </a:prstGeom>
                                              </pic:spPr>
                                            </pic:pic>
                                          </a:graphicData>
                                        </a:graphic>
                                      </wp:inline>
                                    </w:drawing>
                                  </w:r>
                                </w:p>
                              </w:tc>
                            </w:tr>
                            <w:tr>
                              <w:trPr>
                                <w:trHeight w:val="662"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Si les mesures techniques d'aspiration ou de ventilation ne sont pas possibles ou insuffisantes, il faut porter une protection respiratoire.</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221"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Respecter les délais d'usure spécifiés par le fabricant.</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1103"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La classe de filtre doit être adaptée à la concentration maximale de contaminants (gaz/vapeur/aérosol/particules) susceptible d'apparaître lors de la manipulation du produit. Si la concentration est dépassée, un appareil respiratoire autonome doit être utilisé.</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662" w:hRule="exac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538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N'utiliser que des appareils de protection respiratoire portant le symbole CE et un numéro de test à quatre chiffres.</w:t>
                                  </w:r>
                                </w:p>
                              </w:tc>
                              <w:tc>
                                <w:tcPr>
                                  <w:tcW w:w="1922"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Contrôles d'exposition liés à la protection de l'environnement</w:t>
                                  </w:r>
                                </w:p>
                              </w:tc>
                              <w:tc>
                                <w:tcPr>
                                  <w:tcW w:w="7310" w:type="dxa"/>
                                  <w:gridSpan w:val="4"/>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284"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6"/>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9: Propriétés physiques et chimiques</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6"/>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9.1 - Informations sur les propriétés physiques et chimiques essentielles</w:t>
                                  </w:r>
                                </w:p>
                              </w:tc>
                            </w:tr>
                            <w:tr>
                              <w:trPr>
                                <w:trHeight w:val="170"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546"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État</w:t>
                                  </w:r>
                                </w:p>
                              </w:tc>
                              <w:tc>
                                <w:tcPr>
                                  <w:tcW w:w="2546"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Solide</w:t>
                                  </w:r>
                                </w:p>
                              </w:tc>
                              <w:tc>
                                <w:tcPr>
                                  <w:tcW w:w="2546"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Aspect</w:t>
                                  </w:r>
                                </w:p>
                              </w:tc>
                              <w:tc>
                                <w:tcPr>
                                  <w:tcW w:w="249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Solide</w:t>
                                  </w:r>
                                </w:p>
                              </w:tc>
                            </w:tr>
                            <w:tr>
                              <w:trPr>
                                <w:trHeight w:val="221" w:hRule="atLeast"/>
                              </w:trPr>
                              <w:tc>
                                <w:tcPr>
                                  <w:tcW w:w="2546"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Couleur</w:t>
                                  </w:r>
                                </w:p>
                              </w:tc>
                              <w:tc>
                                <w:tcPr>
                                  <w:tcW w:w="2546"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ivoire</w:t>
                                  </w:r>
                                </w:p>
                              </w:tc>
                              <w:tc>
                                <w:tcPr>
                                  <w:tcW w:w="2546"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Odeur</w:t>
                                  </w:r>
                                </w:p>
                              </w:tc>
                              <w:tc>
                                <w:tcPr>
                                  <w:tcW w:w="249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caractéristique</w:t>
                                  </w:r>
                                </w:p>
                              </w:tc>
                            </w:tr>
                            <w:tr>
                              <w:trPr>
                                <w:trHeight w:val="113" w:hRule="exact"/>
                              </w:trPr>
                              <w:tc>
                                <w:tcPr>
                                  <w:tcW w:w="-4" w:type="dxa"/>
                                  <w:gridSpan w:val="6"/>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Seuil olfactif</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pH</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Point de fusion</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Point de congélation</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Point d'ébullition</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3"/>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Point éclair</w:t>
                                  </w:r>
                                </w:p>
                              </w:tc>
                              <w:tc>
                                <w:tcPr>
                                  <w:tcW w:w="5042" w:type="dxa"/>
                                  <w:gridSpan w:val="3"/>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&lt; 100 °C</w:t>
                                  </w:r>
                                </w:p>
                              </w:tc>
                            </w:tr>
                          </w:tbl>
                          <w:tbl>
                            <w:tblPr>
                              <w:tblLayout w:type="fixed"/>
                              <w:tblInd w:w="0" w:type="dxa"/>
                              <w:tblCellMar>
                                <w:left w:w="0" w:type="dxa"/>
                                <w:right w:w="0" w:type="dxa"/>
                              </w:tblCellMar>
                            </w:tblPr>
                            <w:tblGrid>
                              <w:gridCol w:w="5104"/>
                              <w:gridCol w:w="5046"/>
                            </w:tblGrid>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Taux d'évaporation</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inflammabilité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Limite inférieure d’explosivité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Limite supérieure d'explosivité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Pression de la vapeur</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Densité de la vapeur</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Densité relative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Densité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Solubilité (Eau)</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Solubilité (Ethanol)</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Solubilité (Acétone)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Solubilité (Solvants organiques)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Log KOW</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Température d’auto-inflammabilité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Température de décomposition</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Viscosité, cinématique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Viscosité, dynamique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Caractéristiques des particules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Taille des particules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Empoussièrement</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Aire de surface spécifique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Forme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9.2 - Autres informations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Teneur en COV</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Energie minimale d'ignition</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Conductivité</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Indice de réfraction</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Teneur en corps solides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Tension de surface</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Concentration de saturation</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2"/>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10: Stabilité et réactivité</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10.1 - Réactivité</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Ce matériau est considéré comme non réactif dans des conditions normales d'utilisation.</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10.2 - Stabilité chimique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 produit est chimiquement stable dans les conditions recommandées de stockage, d'utilisation et de température.</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10.3 - Possibilité de réactions dangereuses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réaction dangereuse lors de la manipulation et du stockage conformément aux dispositions.</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10.4 - Conditions à éviter</w:t>
                                  </w:r>
                                </w:p>
                              </w:tc>
                            </w:tr>
                            <w:tr>
                              <w:trPr>
                                <w:trHeight w:val="113"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Stable dans les conditions de stockage et de manipulation recommandées.</w:t>
                                  </w:r>
                                </w:p>
                              </w:tc>
                            </w:tr>
                          </w:tbl>
                          <w:tbl>
                            <w:tblPr>
                              <w:tblLayout w:type="fixed"/>
                              <w:tblInd w:w="0" w:type="dxa"/>
                              <w:tblCellMar>
                                <w:left w:w="0" w:type="dxa"/>
                                <w:right w:w="0" w:type="dxa"/>
                              </w:tblCellMar>
                            </w:tblPr>
                            <w:tblGrid>
                              <w:gridCol w:w="2836"/>
                              <w:gridCol w:w="4536"/>
                              <w:gridCol w:w="2778"/>
                            </w:tblGrid>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10.5 - Matières incompatibles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10.6 - Produits de décomposition dangereux</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11: Informations toxicologiques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11.1 - Informations sur les classes de danger telles que définies dans le règlement (CE) no 1272/2008</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aiguë</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 Mélange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DL50 Orale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DL50 Cutanée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DL50 Cutanée (lapin)</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CL50 Inhalation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CL50 Inhalation poussières brouillard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453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CL50 Inhalation vapeurs (rat)</w:t>
                                  </w:r>
                                </w:p>
                              </w:tc>
                              <w:tc>
                                <w:tcPr>
                                  <w:tcW w:w="2774"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Corrosion cutanée/irritation  cutanée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Lésions oculaires  graves/irritation oculaire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Provoque une grave irritation des yeux.</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Sensibilisation respiratoire ou  cutanée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Peut provoquer une réaction allergique cutanée.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Mutagénicité sur les cellules  germinales</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Cancérogénicité</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pour la reproduction</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662"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spécifique pour  certains organes cibles —  exposition unique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662"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spécifique pour  certains organes cibles –  exposition répétée</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bl>
                          <w:tbl>
                            <w:tblPr>
                              <w:tblLayout w:type="fixed"/>
                              <w:tblInd w:w="0" w:type="dxa"/>
                              <w:tblCellMar>
                                <w:left w:w="0" w:type="dxa"/>
                                <w:right w:w="0" w:type="dxa"/>
                              </w:tblCellMar>
                            </w:tblPr>
                            <w:tblGrid>
                              <w:gridCol w:w="2836"/>
                              <w:gridCol w:w="2268"/>
                              <w:gridCol w:w="5046"/>
                            </w:tblGrid>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Danger par aspiration</w:t>
                                  </w: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Non classé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11.2 - Informations sur les autres dangers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Selon le règlement (UE) 2017/2100 ou le règlement (UE) 2018/605, aucune substance n'est connue pour avoir des perturbations endocriniennes</w:t>
                                  </w:r>
                                </w:p>
                              </w:tc>
                            </w:tr>
                            <w:tr>
                              <w:trPr>
                                <w:trHeight w:val="284"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3"/>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12: Informations écologiques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12.1 - Toxicité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Toxicité : Mélange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CE50 48h crustacés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CL50 96h poissons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CEr50 algues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CEr50 autres plantes aquatiques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NOEC chronique poissons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NOEC chronique crustacés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NOEC chronique algues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NOEC chronique autres plantes aquatiques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Toxique pour la vie aquatique avec des effets à long terme.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12.2 - Persistance et dégradabilité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Demande biochimique en oxygène (DBO)</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Demande chimique en oxygène (DCO)</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de biodégradation en 28 jours</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12.3 - Potentiel de bioaccumulation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Facteur de bioconcentration (FBC)</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211" w:hRule="atLeast"/>
                              </w:trPr>
                              <w:tc>
                                <w:tcPr>
                                  <w:tcW w:w="5098" w:type="dxa"/>
                                  <w:gridSpan w:val="2"/>
                                  <w:tcBorders>
                                    <w:top w:val="single" w:color="606060" w:sz="4"/>
                                    <w:left w:val="single" w:color="606060" w:sz="4"/>
                                    <w:bottom w:val="single" w:color="606060" w:sz="4"/>
                                    <w:right w:val="single" w:color="606060"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Log KOW</w:t>
                                  </w:r>
                                </w:p>
                              </w:tc>
                              <w:tc>
                                <w:tcPr>
                                  <w:tcW w:w="5042" w:type="dxa"/>
                                  <w:tcBorders>
                                    <w:top w:val="single" w:color="606060" w:sz="4"/>
                                    <w:left w:val="single" w:color="606060" w:sz="4"/>
                                    <w:bottom w:val="single" w:color="606060" w:sz="4"/>
                                    <w:right w:val="single" w:color="606060"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12.4 - Mobilité dans le sol</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12.5 - Résultats des évaluations PBT et vPvB</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662"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Ce mélange ne contient aucune substance présentant un danger pour la santé ou l'environnement au sens du règlement (CE) n° 1272/2008, soumise à une limite d'exposition communautaire sur le lieu de travail, classée PBT/vPvB ou incluse dans la liste des substances candidates.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 mélange contient &gt;= 0,1 % de substances répondant aux critères vPvB conformément au règlement (CE) n° 1907/2006, annexe XIII. Voir la SECTION 3 de cette fiche de données de sécurité.</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12.6 - Propriétés perturbant le système endocrinien</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221"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Ce produit n'a pas de propriétés perturbateurs endocriniens.</w:t>
                                  </w:r>
                                </w:p>
                              </w:tc>
                            </w:tr>
                            <w:tr>
                              <w:trPr>
                                <w:trHeight w:val="113" w:hRule="exact"/>
                              </w:trPr>
                              <w:tc>
                                <w:tcPr>
                                  <w:tcW w:w="-4" w:type="dxa"/>
                                  <w:gridSpan w:val="3"/>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12.7 - Autres effets néfastes</w:t>
                                  </w:r>
                                </w:p>
                              </w:tc>
                            </w:tr>
                          </w:tbl>
                          <w:tbl>
                            <w:tblPr>
                              <w:tblLayout w:type="fixed"/>
                              <w:tblInd w:w="0" w:type="dxa"/>
                              <w:tblCellMar>
                                <w:left w:w="0" w:type="dxa"/>
                                <w:right w:w="0" w:type="dxa"/>
                              </w:tblCellMar>
                            </w:tblPr>
                            <w:tblGrid>
                              <w:gridCol w:w="2836"/>
                              <w:gridCol w:w="510"/>
                              <w:gridCol w:w="100"/>
                              <w:gridCol w:w="2212"/>
                              <w:gridCol w:w="1134"/>
                              <w:gridCol w:w="1134"/>
                              <w:gridCol w:w="1134"/>
                              <w:gridCol w:w="1134"/>
                            </w:tblGrid>
                            <w:tr>
                              <w:trPr>
                                <w:trHeight w:val="221"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donnée disponible.</w:t>
                                  </w:r>
                                </w:p>
                              </w:tc>
                            </w:tr>
                            <w:tr>
                              <w:trPr>
                                <w:trHeight w:val="284"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8"/>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13: Considérations relatives à l'élimination</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13.1 - Méthodes de traitement des déchets</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Méthodes de traitement des  déchets</w:t>
                                  </w:r>
                                </w:p>
                              </w:tc>
                              <w:tc>
                                <w:tcPr>
                                  <w:tcW w:w="7310" w:type="dxa"/>
                                  <w:gridSpan w:val="7"/>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Élimination conformément au Règlement 2008/98/CE en matière de déchets et déchets dangereux.</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Evacuation des eaux</w:t>
                                  </w:r>
                                </w:p>
                              </w:tc>
                              <w:tc>
                                <w:tcPr>
                                  <w:tcW w:w="7310" w:type="dxa"/>
                                  <w:gridSpan w:val="7"/>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Précautions particulières à  prendre</w:t>
                                  </w:r>
                                </w:p>
                              </w:tc>
                              <w:tc>
                                <w:tcPr>
                                  <w:tcW w:w="7310" w:type="dxa"/>
                                  <w:gridSpan w:val="7"/>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Aucune information disponible.</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7"/>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Élimination des déchets conformément à la directive 2008/98/CE relative aux déchets et aux déchets dangereux.</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7"/>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Les emballages non contaminés doivent être recyclés ou éliminés.</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7310" w:type="dxa"/>
                                  <w:gridSpan w:val="7"/>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Manipuler les emballages contaminés de la même manière que la substance elle-même.</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Disposition Communautaire  ou Nationale ou Régionale</w:t>
                                  </w:r>
                                </w:p>
                              </w:tc>
                              <w:tc>
                                <w:tcPr>
                                  <w:tcW w:w="7310" w:type="dxa"/>
                                  <w:gridSpan w:val="7"/>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Éliminer les déchets conformément à la législation en vigueur.</w:t>
                                  </w:r>
                                </w:p>
                              </w:tc>
                            </w:tr>
                            <w:tr>
                              <w:trPr>
                                <w:trHeight w:val="284"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8"/>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14: Informations relatives au transport</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14.1 - Numéro ONU ou numéro d’identification</w:t>
                                  </w:r>
                                </w:p>
                              </w:tc>
                            </w:tr>
                            <w:tr>
                              <w:trPr>
                                <w:trHeight w:val="170"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Numéro ONU (ADR)</w:t>
                                  </w:r>
                                </w:p>
                              </w:tc>
                              <w:tc>
                                <w:tcPr>
                                  <w:tcW w:w="506"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6800" w:type="dxa"/>
                                  <w:gridSpan w:val="6"/>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UN3082</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Numéro ONU (IATA)</w:t>
                                  </w:r>
                                </w:p>
                              </w:tc>
                              <w:tc>
                                <w:tcPr>
                                  <w:tcW w:w="506"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6800" w:type="dxa"/>
                                  <w:gridSpan w:val="6"/>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UN3082</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14.2 - Désignation officielle de transport de l'ONU</w:t>
                                  </w:r>
                                </w:p>
                              </w:tc>
                            </w:tr>
                            <w:tr>
                              <w:trPr>
                                <w:trHeight w:val="170"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Nom d’expédition des Nations  unies (ADR)</w:t>
                                  </w:r>
                                </w:p>
                              </w:tc>
                              <w:tc>
                                <w:tcPr>
                                  <w:tcW w:w="506"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6800" w:type="dxa"/>
                                  <w:gridSpan w:val="6"/>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MATIÈRE DANGEREUSE DU POINT DE VUE DE L'ENVIRONNEMENT, LIQUIDE, N.S.A.</w:t>
                                  </w: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Nom d’expédition des Nations  unies (IATA)</w:t>
                                  </w:r>
                                </w:p>
                              </w:tc>
                              <w:tc>
                                <w:tcPr>
                                  <w:tcW w:w="506"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6800" w:type="dxa"/>
                                  <w:gridSpan w:val="6"/>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MATIÈRE DANGEREUSE DU POINT DE VUE DE L'ENVIRONNEMENT, LIQUIDE, N.S.A.</w:t>
                                  </w: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14.3 - Classe(s) de danger pour le transport</w:t>
                                  </w:r>
                                </w:p>
                              </w:tc>
                            </w:tr>
                            <w:tr>
                              <w:trPr>
                                <w:trHeight w:val="170"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ADR Classe(s) de danger  pour le transport</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6742" w:type="dxa"/>
                                  <w:gridSpan w:val="5"/>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ADR Code de classification:</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6742" w:type="dxa"/>
                                  <w:gridSpan w:val="5"/>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4" w:hRule="exact"/>
                              </w:trPr>
                              <w:tc>
                                <w:tcPr>
                                  <w:tcW w:w="560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Pictogrammes</w:t>
                                  </w:r>
                                </w:p>
                              </w:tc>
                              <w:tc>
                                <w:tcPr>
                                  <w:tcW w:w="1130"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648000" cy="720000"/>
                                        <wp:effectExtent l="0" t="0" r="0" b="0"/>
                                        <wp:docPr id="24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30">
                                                  <a:extLst>
                                                    <a:ext uri="{28A0092B-C50C-407E-A947-70E740481C1C}">
                                                      <a14:useLocalDpi xmlns:a14="http://schemas.microsoft.com/office/drawing/2010/main" val="0"/>
                                                    </a:ext>
                                                  </a:extLst>
                                                </a:blip>
                                                <a:stretch>
                                                  <a:fillRect/>
                                                </a:stretch>
                                              </pic:blipFill>
                                              <pic:spPr>
                                                <a:xfrm>
                                                  <a:off x="0" y="0"/>
                                                  <a:ext cx="648000" cy="720000"/>
                                                </a:xfrm>
                                                <a:prstGeom prst="rect">
                                                  <a:avLst/>
                                                </a:prstGeom>
                                              </pic:spPr>
                                            </pic:pic>
                                          </a:graphicData>
                                        </a:graphic>
                                      </wp:inline>
                                    </w:drawing>
                                  </w:r>
                                </w:p>
                              </w:tc>
                              <w:tc>
                                <w:tcPr>
                                  <w:tcW w:w="1130"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648000" cy="720000"/>
                                        <wp:effectExtent l="0" t="0" r="0" b="0"/>
                                        <wp:docPr id="24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31">
                                                  <a:extLst>
                                                    <a:ext uri="{28A0092B-C50C-407E-A947-70E740481C1C}">
                                                      <a14:useLocalDpi xmlns:a14="http://schemas.microsoft.com/office/drawing/2010/main" val="0"/>
                                                    </a:ext>
                                                  </a:extLst>
                                                </a:blip>
                                                <a:stretch>
                                                  <a:fillRect/>
                                                </a:stretch>
                                              </pic:blipFill>
                                              <pic:spPr>
                                                <a:xfrm>
                                                  <a:off x="0" y="0"/>
                                                  <a:ext cx="648000" cy="720000"/>
                                                </a:xfrm>
                                                <a:prstGeom prst="rect">
                                                  <a:avLst/>
                                                </a:prstGeom>
                                              </pic:spPr>
                                            </pic:pic>
                                          </a:graphicData>
                                        </a:graphic>
                                      </wp:inline>
                                    </w:drawing>
                                  </w:r>
                                </w:p>
                              </w:tc>
                              <w:tc>
                                <w:tcPr>
                                  <w:tcW w:w="1130"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c>
                                <w:tcPr>
                                  <w:tcW w:w="1130"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44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Classe(s) de danger pour le  transport (IATA)</w:t>
                                  </w:r>
                                </w:p>
                              </w:tc>
                              <w:tc>
                                <w:tcPr>
                                  <w:tcW w:w="56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6742" w:type="dxa"/>
                                  <w:gridSpan w:val="5"/>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4" w:hRule="exact"/>
                              </w:trPr>
                              <w:tc>
                                <w:tcPr>
                                  <w:tcW w:w="5608"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Pictogrammes</w:t>
                                  </w:r>
                                </w:p>
                              </w:tc>
                              <w:tc>
                                <w:tcPr>
                                  <w:tcW w:w="1130"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648000" cy="720000"/>
                                        <wp:effectExtent l="0" t="0" r="0" b="0"/>
                                        <wp:docPr id="24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32">
                                                  <a:extLst>
                                                    <a:ext uri="{28A0092B-C50C-407E-A947-70E740481C1C}">
                                                      <a14:useLocalDpi xmlns:a14="http://schemas.microsoft.com/office/drawing/2010/main" val="0"/>
                                                    </a:ext>
                                                  </a:extLst>
                                                </a:blip>
                                                <a:stretch>
                                                  <a:fillRect/>
                                                </a:stretch>
                                              </pic:blipFill>
                                              <pic:spPr>
                                                <a:xfrm>
                                                  <a:off x="0" y="0"/>
                                                  <a:ext cx="648000" cy="720000"/>
                                                </a:xfrm>
                                                <a:prstGeom prst="rect">
                                                  <a:avLst/>
                                                </a:prstGeom>
                                              </pic:spPr>
                                            </pic:pic>
                                          </a:graphicData>
                                        </a:graphic>
                                      </wp:inline>
                                    </w:drawing>
                                  </w:r>
                                </w:p>
                              </w:tc>
                              <w:tc>
                                <w:tcPr>
                                  <w:tcW w:w="1130" w:type="dxa"/>
                                  <w:tcBorders>
                                    <w:top w:val="nil" w:color="000000" w:sz="0"/>
                                    <w:left w:val="nil" w:color="000000" w:sz="0"/>
                                    <w:bottom w:val="nil" w:color="000000" w:sz="0"/>
                                    <w:right w:val="nil" w:color="000000" w:sz="0"/>
                                  </w:tcBorders>
                                  <w:tcMar>
                                    <w:top w:w="0" w:type="dxa"/>
                                    <w:left w:w="56" w:type="dxa"/>
                                    <w:bottom w:w="0" w:type="dxa"/>
                                    <w:right w:w="56" w:type="dxa"/>
                                  </w:tcMar>
                                </w:tcPr>
                                <w:p>
                                  <w:pPr>
                                    <w:rPr>
                                      <w:lang w:val="en-US"/>
                                    </w:rPr>
                                  </w:pPr>
                                  <w:r>
                                    <w:rPr>
                                      <w:sz w:val="2"/>
                                    </w:rPr>
                                    <w:drawing>
                                      <wp:inline distT="0" distB="0" distL="0" distR="0" wp14:anchorId="62EC9BC3" wp14:editId="2A206D38">
                                        <wp:extent cx="648000" cy="720000"/>
                                        <wp:effectExtent l="0" t="0" r="0" b="0"/>
                                        <wp:docPr id="24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Textmetric.png"/>
                                                <pic:cNvPicPr/>
                                              </pic:nvPicPr>
                                              <pic:blipFill>
                                                <a:blip r:embed="rId933">
                                                  <a:extLst>
                                                    <a:ext uri="{28A0092B-C50C-407E-A947-70E740481C1C}">
                                                      <a14:useLocalDpi xmlns:a14="http://schemas.microsoft.com/office/drawing/2010/main" val="0"/>
                                                    </a:ext>
                                                  </a:extLst>
                                                </a:blip>
                                                <a:stretch>
                                                  <a:fillRect/>
                                                </a:stretch>
                                              </pic:blipFill>
                                              <pic:spPr>
                                                <a:xfrm>
                                                  <a:off x="0" y="0"/>
                                                  <a:ext cx="648000" cy="720000"/>
                                                </a:xfrm>
                                                <a:prstGeom prst="rect">
                                                  <a:avLst/>
                                                </a:prstGeom>
                                              </pic:spPr>
                                            </pic:pic>
                                          </a:graphicData>
                                        </a:graphic>
                                      </wp:inline>
                                    </w:drawing>
                                  </w:r>
                                </w:p>
                              </w:tc>
                              <w:tc>
                                <w:tcPr>
                                  <w:tcW w:w="1130"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c>
                                <w:tcPr>
                                  <w:tcW w:w="1130" w:type="dxa"/>
                                  <w:tcBorders>
                                    <w:top w:val="nil" w:color="000000" w:sz="0"/>
                                    <w:left w:val="nil" w:color="000000" w:sz="0"/>
                                    <w:bottom w:val="nil" w:color="000000" w:sz="0"/>
                                    <w:right w:val="nil" w:color="000000" w:sz="0"/>
                                  </w:tcBorders>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8"/>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8"/>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14.4 - Groupe d'emballage</w:t>
                                  </w:r>
                                </w:p>
                              </w:tc>
                            </w:tr>
                          </w:tbl>
                          <w:tbl>
                            <w:tblPr>
                              <w:tblLayout w:type="fixed"/>
                              <w:tblInd w:w="0" w:type="dxa"/>
                              <w:tblCellMar>
                                <w:left w:w="0" w:type="dxa"/>
                                <w:right w:w="0" w:type="dxa"/>
                              </w:tblCellMar>
                            </w:tblPr>
                            <w:tblGrid>
                              <w:gridCol w:w="2836"/>
                              <w:gridCol w:w="568"/>
                              <w:gridCol w:w="2268"/>
                              <w:gridCol w:w="568"/>
                              <w:gridCol w:w="3912"/>
                            </w:tblGrid>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Groupe d'emballage</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674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Groupe d'emballage (IATA)</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674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14.5 - Dangers pour l’environnement</w:t>
                                  </w:r>
                                </w:p>
                              </w:tc>
                            </w:tr>
                            <w:tr>
                              <w:trPr>
                                <w:trHeight w:val="170"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Dangers pour l’environnement</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674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Oui.</w:t>
                                  </w:r>
                                </w:p>
                              </w:tc>
                            </w:tr>
                            <w:tr>
                              <w:trPr>
                                <w:trHeight w:val="221" w:hRule="atLeast"/>
                              </w:trPr>
                              <w:tc>
                                <w:tcPr>
                                  <w:tcW w:w="2830" w:type="dxa"/>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Polluant marin</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6742"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Danger pour l'environnement aquatique - Aquatic Chronic 2</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14.6 - Précautions particulières à prendre par l’utilisateur</w:t>
                                  </w:r>
                                </w:p>
                              </w:tc>
                            </w:tr>
                            <w:tr>
                              <w:trPr>
                                <w:trHeight w:val="170"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30"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true"/>
                                      <w:i w:val="false"/>
                                      <w:strike w:val="false"/>
                                      <w:color w:val="000000"/>
                                      <w:spacing w:val="0"/>
                                      <w:sz w:val="20"/>
                                      <w:u w:val="single"/>
                                    </w:rPr>
                                    <w:t xml:space="preserve">ADR</w:t>
                                  </w: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ADR Code de classification:</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ADR Dispositions particulières</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ADR Quantité limitée (LQ)</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Quantités exceptées ADR</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Instructions d'emballage ADR</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Dispositions spéciales d'emballage ADR</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Dispositions pour l'emballage en commun ADR</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Instructions pour les citernes mobiles et conteneurs pour vrac</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44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Dispositions spéciales pour les citernes mobiles et conteneurs  pour vrac</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Code-citerne ADR</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Dispositions spéciales citernes ADR</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Véhicule pour le transport en citerne</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ADR catégorie de transport</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ADR code de restriction en tunnel</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44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Dispositions spéciales chargement, déchargement et  manutention ADR</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Dispositions spéciales - Colis</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V12</w:t>
                                  </w: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Dispositions spéciales - Vrac</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Dispositions spéciales - Exploitation</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ADR Danger n° (code Kemler)</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70"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30"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true"/>
                                      <w:i w:val="false"/>
                                      <w:strike w:val="false"/>
                                      <w:color w:val="000000"/>
                                      <w:spacing w:val="0"/>
                                      <w:sz w:val="20"/>
                                      <w:u w:val="single"/>
                                    </w:rPr>
                                    <w:t xml:space="preserve">IATA</w:t>
                                  </w: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PCA - Quantités exceptées</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PCA - Quantités limitées - Instructions d'emballage</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44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PCA - Quantités limitées - Quantité nette maximale par  emballage</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PCA - Instructions d'emballage</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PCA - Quantité nette maximale par emballage</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CAO - Instructions d'emballage</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CAO - Quantité nette maximale par emballage</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Dispositions particulières</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221" w:hRule="atLeast"/>
                              </w:trPr>
                              <w:tc>
                                <w:tcPr>
                                  <w:tcW w:w="5666" w:type="dxa"/>
                                  <w:gridSpan w:val="3"/>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Code ERG</w:t>
                                  </w:r>
                                </w:p>
                              </w:tc>
                              <w:tc>
                                <w:tcPr>
                                  <w:tcW w:w="562"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w:t>
                                  </w:r>
                                </w:p>
                              </w:tc>
                              <w:tc>
                                <w:tcPr>
                                  <w:tcW w:w="3908" w:type="dxa"/>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14.7 - Transport maritime en vrac conformément aux instruments de l’OMI</w:t>
                                  </w:r>
                                </w:p>
                              </w:tc>
                            </w:tr>
                            <w:tr>
                              <w:trPr>
                                <w:trHeight w:val="284"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5"/>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15: Informations relatives à la réglementation</w:t>
                                  </w:r>
                                </w:p>
                              </w:tc>
                            </w:tr>
                            <w:tr>
                              <w:trPr>
                                <w:trHeight w:val="113" w:hRule="exact"/>
                              </w:trPr>
                              <w:tc>
                                <w:tcPr>
                                  <w:tcW w:w="-4" w:type="dxa"/>
                                  <w:gridSpan w:val="5"/>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94" w:hRule="atLeast"/>
                              </w:trPr>
                              <w:tc>
                                <w:tcPr>
                                  <w:tcW w:w="10144"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15.1 - Réglementations/législation particulières à la substance ou au mélange en matière de sécurité, de santé et d’environnement</w:t>
                                  </w:r>
                                </w:p>
                              </w:tc>
                            </w:tr>
                          </w:tbl>
                          <w:tbl>
                            <w:tblPr>
                              <w:tblLayout w:type="fixed"/>
                              <w:tblInd w:w="0" w:type="dxa"/>
                              <w:tblCellMar>
                                <w:left w:w="0" w:type="dxa"/>
                                <w:right w:w="0" w:type="dxa"/>
                              </w:tblCellMar>
                            </w:tblPr>
                            <w:tblGrid>
                              <w:gridCol w:w="964"/>
                              <w:gridCol w:w="738"/>
                              <w:gridCol w:w="510"/>
                              <w:gridCol w:w="624"/>
                              <w:gridCol w:w="568"/>
                              <w:gridCol w:w="1078"/>
                              <w:gridCol w:w="5670"/>
                            </w:tblGrid>
                            <w:tr>
                              <w:trPr>
                                <w:trHeight w:val="441"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Substances REACH  candidates</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w:t>
                                  </w:r>
                                </w:p>
                              </w:tc>
                            </w:tr>
                            <w:tr>
                              <w:trPr>
                                <w:trHeight w:val="221"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Substances Annex XIV</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w:t>
                                  </w:r>
                                </w:p>
                              </w:tc>
                            </w:tr>
                            <w:tr>
                              <w:trPr>
                                <w:trHeight w:val="221"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Substances Annex XVII</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Teneur en COV</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Aucune donnée disponible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1324" w:hRule="atLeast"/>
                              </w:trPr>
                              <w:tc>
                                <w:tcPr>
                                  <w:tcW w:w="2830" w:type="dxa"/>
                                  <w:gridSpan w:val="4"/>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Dispositions communautaires  en matière de sécurité, de  santé et d’environnement, lois  nationales</w:t>
                                  </w:r>
                                </w:p>
                              </w:tc>
                              <w:tc>
                                <w:tcPr>
                                  <w:tcW w:w="7310" w:type="dxa"/>
                                  <w:gridSpan w:val="3"/>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Cette FDS a été établie conformément au règlement REACH, y compris ses modifications: règlement REACH (CE) n °</w:t>
                                  </w:r>
                                </w:p>
                                <w:p>
                                  <w:pPr>
                                    <w:spacing w:before="0" w:after="0" w:line="200" w:lineRule="exact"/>
                                    <w:jc w:val="left"/>
                                  </w:pPr>
                                  <w:r>
                                    <w:rPr>
                                      <w:rFonts w:ascii="Arial" w:hAnsi="Arial" w:cs="Arial"/>
                                      <w:b w:val="false"/>
                                      <w:i w:val="false"/>
                                      <w:strike w:val="false"/>
                                      <w:color w:val="000000"/>
                                      <w:spacing w:val="0"/>
                                      <w:sz w:val="20"/>
                                      <w:u w:val="none"/>
                                    </w:rPr>
                                    <w:t xml:space="preserve">1907/2006.</w:t>
                                  </w:r>
                                </w:p>
                                <w:p>
                                  <w:pPr>
                                    <w:spacing w:before="0" w:after="0" w:line="200" w:lineRule="exact"/>
                                    <w:jc w:val="left"/>
                                  </w:pPr>
                                  <w:r>
                                    <w:rPr>
                                      <w:rFonts w:ascii="Arial" w:hAnsi="Arial" w:cs="Arial"/>
                                      <w:b w:val="false"/>
                                      <w:i w:val="false"/>
                                      <w:strike w:val="false"/>
                                      <w:color w:val="000000"/>
                                      <w:spacing w:val="0"/>
                                      <w:sz w:val="20"/>
                                      <w:u w:val="none"/>
                                    </w:rPr>
                                    <w:t xml:space="preserve">Cette SDS a été établie conformément à la réglementation CLP, y compris ses modifications: règlement CLP n °</w:t>
                                  </w:r>
                                </w:p>
                                <w:p>
                                  <w:pPr>
                                    <w:spacing w:before="0" w:after="0" w:line="200" w:lineRule="exact"/>
                                    <w:jc w:val="left"/>
                                  </w:pPr>
                                  <w:r>
                                    <w:rPr>
                                      <w:rFonts w:ascii="Arial" w:hAnsi="Arial" w:cs="Arial"/>
                                      <w:b w:val="false"/>
                                      <w:i w:val="false"/>
                                      <w:strike w:val="false"/>
                                      <w:color w:val="000000"/>
                                      <w:spacing w:val="0"/>
                                      <w:sz w:val="20"/>
                                      <w:u w:val="none"/>
                                    </w:rPr>
                                    <w:t xml:space="preserve">1272/2008.</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47"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20" w:lineRule="exact"/>
                                    <w:jc w:val="left"/>
                                  </w:pPr>
                                  <w:r>
                                    <w:rPr>
                                      <w:rFonts w:ascii="Arial" w:hAnsi="Arial" w:cs="Arial"/>
                                      <w:b w:val="false"/>
                                      <w:i w:val="false"/>
                                      <w:strike w:val="false"/>
                                      <w:color w:val="000000"/>
                                      <w:spacing w:val="0"/>
                                      <w:sz w:val="22"/>
                                      <w:u w:val="none"/>
                                    </w:rPr>
                                    <w:t xml:space="preserve">15.2 - Évaluation de la sécurité chimique</w:t>
                                  </w:r>
                                </w:p>
                              </w:tc>
                            </w:tr>
                            <w:tr>
                              <w:trPr>
                                <w:trHeight w:val="284"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66" w:hRule="atLeast"/>
                              </w:trPr>
                              <w:tc>
                                <w:tcPr>
                                  <w:tcW w:w="10144" w:type="dxa"/>
                                  <w:gridSpan w:val="7"/>
                                  <w:tcBorders>
                                    <w:top w:val="single" w:color="D92A33" w:sz="4"/>
                                    <w:left w:val="nil" w:color="000000" w:sz="0"/>
                                    <w:bottom w:val="single" w:color="D92A33" w:sz="4"/>
                                    <w:right w:val="nil" w:color="000000" w:sz="0"/>
                                  </w:tcBorders>
                                  <w:shd w:val="clear" w:color="auto" w:fill="FBFBFB"/>
                                  <w:tcMar>
                                    <w:top w:w="28" w:type="dxa"/>
                                    <w:left w:w="56" w:type="dxa"/>
                                    <w:bottom w:w="28" w:type="dxa"/>
                                    <w:right w:w="56" w:type="dxa"/>
                                  </w:tcMar>
                                  <w:vAlign w:val="top"/>
                                </w:tcPr>
                                <w:p>
                                  <w:pPr>
                                    <w:spacing w:before="0" w:after="0" w:line="240" w:lineRule="exact"/>
                                    <w:jc w:val="left"/>
                                  </w:pPr>
                                  <w:r>
                                    <w:rPr>
                                      <w:rFonts w:ascii="Arial" w:hAnsi="Arial" w:cs="Arial"/>
                                      <w:b w:val="true"/>
                                      <w:i w:val="false"/>
                                      <w:strike w:val="false"/>
                                      <w:color w:val="606060"/>
                                      <w:spacing w:val="0"/>
                                      <w:sz w:val="24"/>
                                      <w:u w:val="none"/>
                                    </w:rPr>
                                    <w:t xml:space="preserve">RUBRIQUE 16: Autres informations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Versions de la FDS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31" w:hRule="atLeast"/>
                              </w:trPr>
                              <w:tc>
                                <w:tcPr>
                                  <w:tcW w:w="958" w:type="dxa"/>
                                  <w:tcBorders>
                                    <w:top w:val="single" w:color="666666" w:sz="4"/>
                                    <w:left w:val="single" w:color="666666" w:sz="4"/>
                                    <w:bottom w:val="single" w:color="666666" w:sz="4"/>
                                    <w:right w:val="single" w:color="666666" w:sz="4"/>
                                  </w:tcBorders>
                                  <w:shd w:val="clear" w:color="auto" w:fill="CCCCCC"/>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Version</w:t>
                                  </w:r>
                                </w:p>
                              </w:tc>
                              <w:tc>
                                <w:tcPr>
                                  <w:tcW w:w="1242" w:type="dxa"/>
                                  <w:gridSpan w:val="2"/>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Date d'émission</w:t>
                                  </w:r>
                                </w:p>
                              </w:tc>
                              <w:tc>
                                <w:tcPr>
                                  <w:tcW w:w="2264" w:type="dxa"/>
                                  <w:gridSpan w:val="3"/>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Auteur</w:t>
                                  </w:r>
                                </w:p>
                              </w:tc>
                              <w:tc>
                                <w:tcPr>
                                  <w:tcW w:w="5666" w:type="dxa"/>
                                  <w:tcBorders>
                                    <w:top w:val="single" w:color="666666" w:sz="4"/>
                                    <w:left w:val="single" w:color="666666" w:sz="4"/>
                                    <w:bottom w:val="single" w:color="666666" w:sz="4"/>
                                    <w:right w:val="single" w:color="666666" w:sz="4"/>
                                  </w:tcBorders>
                                  <w:shd w:val="clear" w:color="auto" w:fill="CCCCCC"/>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Description des modifications</w:t>
                                  </w:r>
                                </w:p>
                              </w:tc>
                            </w:tr>
                            <w:tr>
                              <w:trPr>
                                <w:trHeight w:val="216" w:hRule="atLeast"/>
                              </w:trPr>
                              <w:tc>
                                <w:tcPr>
                                  <w:tcW w:w="958"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1</w:t>
                                  </w:r>
                                </w:p>
                              </w:tc>
                              <w:tc>
                                <w:tcPr>
                                  <w:tcW w:w="1242" w:type="dxa"/>
                                  <w:gridSpan w:val="2"/>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02/10/2026</w:t>
                                  </w:r>
                                </w:p>
                              </w:tc>
                              <w:tc>
                                <w:tcPr>
                                  <w:tcW w:w="2264" w:type="dxa"/>
                                  <w:gridSpan w:val="3"/>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c>
                                <w:tcPr>
                                  <w:tcW w:w="5666"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 w:lineRule="atLeast"/>
                                    <w:jc w:val="left"/>
                                    <w:rPr>
                                      <w:sz w:val="4"/>
                                      <w:szCs w:val="4"/>
                                    </w:rPr>
                                  </w:pP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44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Abréviations et acronymes</w:t>
                                  </w: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ADR : L'Accord relatif au transport international des marchandises dangereuses par route</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ATE : Estimation de la toxicité aiguë.</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CL50 : Concentration létale à 50 % d'un animal testé.</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CMEO : Concentration la plus faible avec effet observé.</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DL50 : Dose mortelle à 50 % d'un animal testé.</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DMEO : niveau d'effet indésirable observé le plus bas.</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DNEL : niveau dérivé sans effet.</w:t>
                                  </w:r>
                                </w:p>
                              </w:tc>
                            </w:tr>
                            <w:tr>
                              <w:trPr>
                                <w:trHeight w:val="44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EC50 : Concentration efficace de la substance provoquant des effets néfastes chez 50 % des animaux testés.</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IATA : Association du transport aérien international.</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IMDG : Marchandises dangereuses maritimes internationales.</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 CE : Numéro de la Communauté Européenne</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NOEC : Concentration sans effet observé.</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NOEL : Aucun niveau d’effet observable.</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Numéro CAS : Numéro du Chemical Abstracts Service.</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OACI : Organisation de l'aviation civile internationale</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PBT : Persistant, Bioaccumulable et Toxique.</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PNEC : concentration prévue sans effet.</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RID : Transport international ferroviaire de marchandises dangereuses.</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STEL : Limite d'exposition à court terme</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TWA : moyenne pondérée dans le temps</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VLEP : Limite d'exposition professionnelle.</w:t>
                                  </w:r>
                                </w:p>
                              </w:tc>
                            </w:tr>
                            <w:tr>
                              <w:trPr>
                                <w:trHeight w:val="221" w:hRule="atLeast"/>
                              </w:trPr>
                              <w:tc>
                                <w:tcPr>
                                  <w:tcW w:w="3398" w:type="dxa"/>
                                  <w:gridSpan w:val="5"/>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 w:lineRule="atLeast"/>
                                    <w:jc w:val="left"/>
                                    <w:rPr>
                                      <w:sz w:val="4"/>
                                      <w:szCs w:val="4"/>
                                    </w:rPr>
                                  </w:pPr>
                                </w:p>
                              </w:tc>
                              <w:tc>
                                <w:tcPr>
                                  <w:tcW w:w="6742" w:type="dxa"/>
                                  <w:gridSpan w:val="2"/>
                                  <w:tcBorders>
                                    <w:top w:val="nil" w:color="000000" w:sz="0"/>
                                    <w:left w:val="nil" w:color="000000" w:sz="0"/>
                                    <w:bottom w:val="nil" w:color="000000" w:sz="0"/>
                                    <w:right w:val="nil" w:color="000000" w:sz="0"/>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 vPvB : très persistant et très bioaccumulable.</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21" w:hRule="atLeast"/>
                              </w:trPr>
                              <w:tc>
                                <w:tcPr>
                                  <w:tcW w:w="10144" w:type="dxa"/>
                                  <w:gridSpan w:val="7"/>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single"/>
                                    </w:rPr>
                                    <w:t xml:space="preserve">Textes des phrases réglementaires</w:t>
                                  </w:r>
                                </w:p>
                              </w:tc>
                            </w:tr>
                            <w:tr>
                              <w:trPr>
                                <w:trHeight w:val="113" w:hRule="exact"/>
                              </w:trPr>
                              <w:tc>
                                <w:tcPr>
                                  <w:tcW w:w="-4" w:type="dxa"/>
                                  <w:gridSpan w:val="7"/>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16"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Acute Tox. 3 Oral</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Toxicité aiguë (par voie orale) - Catégorie 3</w:t>
                                  </w:r>
                                </w:p>
                              </w:tc>
                            </w:tr>
                            <w:tr>
                              <w:trPr>
                                <w:trHeight w:val="216" w:hRule="atLeast"/>
                              </w:trPr>
                              <w:tc>
                                <w:tcPr>
                                  <w:tcW w:w="1696" w:type="dxa"/>
                                  <w:gridSpan w:val="2"/>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Acute Tox. 4 Oral</w:t>
                                  </w:r>
                                </w:p>
                              </w:tc>
                              <w:tc>
                                <w:tcPr>
                                  <w:tcW w:w="8444" w:type="dxa"/>
                                  <w:gridSpan w:val="5"/>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Toxicité aiguë (par voie orale) - Catégorie 4</w:t>
                                  </w:r>
                                </w:p>
                              </w:tc>
                            </w:tr>
                          </w:tbl>
                          <w:tbl>
                            <w:tblPr>
                              <w:tblLayout w:type="fixed"/>
                              <w:tblInd w:w="0" w:type="dxa"/>
                              <w:tblCellMar>
                                <w:left w:w="0" w:type="dxa"/>
                                <w:right w:w="0" w:type="dxa"/>
                              </w:tblCellMar>
                            </w:tblPr>
                            <w:tblGrid>
                              <w:gridCol w:w="1702"/>
                              <w:gridCol w:w="8448"/>
                            </w:tblGrid>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Aquatic Acute 1</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Danger pour l'environnement aquatique - Aquatic Acute 1</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Aquatic Chronic 1</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Danger pour l'environnement aquatique - Aquatic Chronic 1</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Aquatic Chronic 2</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Danger pour l'environnement aquatique - Aquatic Chronic 2</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Eye Irrit. 2</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Irritation oculaire - Catégorie 2</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H302</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Nocif en cas d'ingestion.</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H410</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Très toxique pour les organismes aquatiques, entraîne des effets néfastes à long terme.</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H411</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Toxique pour les organismes aquatiques, entraîne des effets néfastes à long terme.</w:t>
                                  </w:r>
                                </w:p>
                              </w:tc>
                            </w:tr>
                            <w:tr>
                              <w:trPr>
                                <w:trHeight w:val="216" w:hRule="atLeast"/>
                              </w:trPr>
                              <w:tc>
                                <w:tcPr>
                                  <w:tcW w:w="1696" w:type="dxa"/>
                                  <w:tcBorders>
                                    <w:top w:val="single" w:color="666666" w:sz="4"/>
                                    <w:left w:val="single" w:color="666666" w:sz="4"/>
                                    <w:bottom w:val="single" w:color="666666" w:sz="4"/>
                                    <w:right w:val="single" w:color="666666" w:sz="4"/>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Skin Sens. 1B</w:t>
                                  </w:r>
                                </w:p>
                              </w:tc>
                              <w:tc>
                                <w:tcPr>
                                  <w:tcW w:w="8444" w:type="dxa"/>
                                  <w:tcBorders>
                                    <w:top w:val="single" w:color="666666" w:sz="4"/>
                                    <w:left w:val="single" w:color="666666" w:sz="4"/>
                                    <w:bottom w:val="single" w:color="666666" w:sz="4"/>
                                    <w:right w:val="single" w:color="666666" w:sz="4"/>
                                  </w:tcBorders>
                                  <w:shd w:val="clear" w:color="auto" w:fill="FBFBFB"/>
                                  <w:tcMar>
                                    <w:top w:w="0" w:type="dxa"/>
                                    <w:left w:w="56" w:type="dxa"/>
                                    <w:bottom w:w="0"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Sensibilisation cutanée - Catégorie 1B</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882"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00" w:lineRule="exact"/>
                                    <w:jc w:val="left"/>
                                  </w:pPr>
                                  <w:r>
                                    <w:rPr>
                                      <w:rFonts w:ascii="Arial" w:hAnsi="Arial" w:cs="Arial"/>
                                      <w:b w:val="false"/>
                                      <w:i w:val="false"/>
                                      <w:strike w:val="false"/>
                                      <w:color w:val="000000"/>
                                      <w:spacing w:val="0"/>
                                      <w:sz w:val="20"/>
                                      <w:u w:val="none"/>
                                    </w:rPr>
                                    <w:t xml:space="preserve">Les informations fournies dans cette fiche de données de sécurité (FDS) sont à jour à la date à laquelle la FDS a été préparée ou révisée. La mise en œuvre des mesures fournies sur la FDS relève de la responsabilité des entreprises utilisatrices en aval. Les utilisateurs en aval peuvent modifier les mesures de la FDS en fonction des conditions de leur propre entreprise.</w:t>
                                  </w:r>
                                </w:p>
                              </w:tc>
                            </w:tr>
                            <w:tr>
                              <w:trPr>
                                <w:trHeight w:val="284" w:hRule="exact"/>
                              </w:trPr>
                              <w:tc>
                                <w:tcPr>
                                  <w:tcW w:w="-4" w:type="dxa"/>
                                  <w:gridSpan w:val="2"/>
                                  <w:tcBorders>
                                    <w:top w:val="nil" w:color="000000" w:sz="0"/>
                                    <w:left w:val="nil" w:color="000000" w:sz="0"/>
                                    <w:bottom w:val="nil" w:color="000000" w:sz="0"/>
                                    <w:right w:val="nil" w:color="000000" w:sz="0"/>
                                  </w:tcBorders>
                                  <w:tcMar>
                                    <w:top w:w="0" w:type="dxa"/>
                                    <w:left w:w="0" w:type="dxa"/>
                                    <w:bottom w:w="0" w:type="dxa"/>
                                    <w:right w:w="0" w:type="dxa"/>
                                  </w:tcMar>
                                </w:tcPr>
                                <w:p>
                                  <w:pPr>
                                    <w:spacing w:before="0" w:after="0" w:line="20" w:lineRule="atLeast"/>
                                    <w:jc w:val="left"/>
                                    <w:rPr>
                                      <w:sz w:val="4"/>
                                      <w:szCs w:val="4"/>
                                    </w:rPr>
                                  </w:pPr>
                                </w:p>
                              </w:tc>
                            </w:tr>
                            <w:tr>
                              <w:trPr>
                                <w:trHeight w:val="276" w:hRule="atLeast"/>
                              </w:trPr>
                              <w:tc>
                                <w:tcPr>
                                  <w:tcW w:w="10144" w:type="dxa"/>
                                  <w:gridSpan w:val="2"/>
                                  <w:tcBorders>
                                    <w:top w:val="nil" w:color="000000" w:sz="0"/>
                                    <w:left w:val="nil" w:color="000000" w:sz="0"/>
                                    <w:bottom w:val="nil" w:color="000000" w:sz="0"/>
                                    <w:right w:val="nil" w:color="000000" w:sz="0"/>
                                  </w:tcBorders>
                                  <w:shd w:val="clear" w:color="auto" w:fill="FBFBFB"/>
                                  <w:tcMar>
                                    <w:top w:w="28" w:type="dxa"/>
                                    <w:left w:w="56" w:type="dxa"/>
                                    <w:bottom w:w="28" w:type="dxa"/>
                                    <w:right w:w="56" w:type="dxa"/>
                                  </w:tcMar>
                                  <w:vAlign w:val="top"/>
                                </w:tcPr>
                                <w:p>
                                  <w:pPr>
                                    <w:spacing w:before="0" w:after="0" w:line="240" w:lineRule="exact"/>
                                    <w:jc w:val="center"/>
                                  </w:pPr>
                                  <w:r>
                                    <w:rPr>
                                      <w:rFonts w:ascii="Arial" w:hAnsi="Arial" w:cs="Arial"/>
                                      <w:b w:val="true"/>
                                      <w:i w:val="false"/>
                                      <w:strike w:val="false"/>
                                      <w:color w:val="000000"/>
                                      <w:spacing w:val="0"/>
                                      <w:sz w:val="24"/>
                                      <w:u w:val="none"/>
                                    </w:rPr>
                                    <w:t xml:space="preserve">*** *** ***</w:t>
                                  </w:r>
                                </w:p>
                              </w:tc>
                            </w:tr>
                          </w:tbl>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140" name="Rectangle 140"/>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1/13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141" name="Rectangle 141"/>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142" name="Rectangle 142"/>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Milan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143" name="Rectangle 143"/>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44" name="Rectangle 144"/>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14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6">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146" name="Rectangle 146"/>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147" name="Rectangle 147"/>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02/10/2026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148" name="Rectangle 148"/>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149" name="Rectangle 149"/>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79162"/>
                <wp:effectExtent l="0" t="0" r="0" b="0"/>
                <wp:wrapNone/>
                <wp:docPr id="150" name="Rectangle 150"/>
                <wp:cNvGraphicFramePr/>
                <a:graphic xmlns:a="http://schemas.openxmlformats.org/drawingml/2006/main">
                  <a:graphicData uri="http://schemas.microsoft.com/office/word/2010/wordprocessingShape">
                    <wps:wsp>
                      <wps:cNvSpPr/>
                      <wps:spPr bwMode="auto">
                        <a:xfrm>
                          <a:off x="541800" y="1205640"/>
                          <a:ext cx="6508440" cy="8379162"/>
                        </a:xfrm>
                        <a:prstGeom prst="rect">
                          <a:avLst/>
                        </a:prstGeom>
                        <a:ln w="0" cap="sq" cmpd="sng">
                          <a:noFill/>
                          <a:miter lim="800000"/>
                        </a:ln>
                      </wps:spPr>
                      <wps:linkedTxbx id="1" seq="1"/>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151" name="Rectangle 151"/>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2/13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152" name="Rectangle 152"/>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153" name="Rectangle 153"/>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Milan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154" name="Rectangle 154"/>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55" name="Rectangle 155"/>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15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7">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157" name="Rectangle 157"/>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158" name="Rectangle 158"/>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02/10/2026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159" name="Rectangle 159"/>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160" name="Rectangle 160"/>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12976"/>
                <wp:effectExtent l="0" t="0" r="0" b="0"/>
                <wp:wrapNone/>
                <wp:docPr id="161" name="Rectangle 161"/>
                <wp:cNvGraphicFramePr/>
                <a:graphic xmlns:a="http://schemas.openxmlformats.org/drawingml/2006/main">
                  <a:graphicData uri="http://schemas.microsoft.com/office/word/2010/wordprocessingShape">
                    <wps:wsp>
                      <wps:cNvSpPr/>
                      <wps:spPr bwMode="auto">
                        <a:xfrm>
                          <a:off x="541800" y="1205640"/>
                          <a:ext cx="6508440" cy="8412976"/>
                        </a:xfrm>
                        <a:prstGeom prst="rect">
                          <a:avLst/>
                        </a:prstGeom>
                        <a:ln w="0" cap="sq" cmpd="sng">
                          <a:noFill/>
                          <a:miter lim="800000"/>
                        </a:ln>
                      </wps:spPr>
                      <wps:linkedTxbx id="1" seq="2"/>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162" name="Rectangle 162"/>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3/13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163" name="Rectangle 163"/>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164" name="Rectangle 164"/>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Milan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165" name="Rectangle 165"/>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66" name="Rectangle 166"/>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16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8">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168" name="Rectangle 168"/>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169" name="Rectangle 169"/>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02/10/2026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170" name="Rectangle 170"/>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171" name="Rectangle 171"/>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03886"/>
                <wp:effectExtent l="0" t="0" r="0" b="0"/>
                <wp:wrapNone/>
                <wp:docPr id="172" name="Rectangle 172"/>
                <wp:cNvGraphicFramePr/>
                <a:graphic xmlns:a="http://schemas.openxmlformats.org/drawingml/2006/main">
                  <a:graphicData uri="http://schemas.microsoft.com/office/word/2010/wordprocessingShape">
                    <wps:wsp>
                      <wps:cNvSpPr/>
                      <wps:spPr bwMode="auto">
                        <a:xfrm>
                          <a:off x="541800" y="1205640"/>
                          <a:ext cx="6508440" cy="8403886"/>
                        </a:xfrm>
                        <a:prstGeom prst="rect">
                          <a:avLst/>
                        </a:prstGeom>
                        <a:ln w="0" cap="sq" cmpd="sng">
                          <a:noFill/>
                          <a:miter lim="800000"/>
                        </a:ln>
                      </wps:spPr>
                      <wps:linkedTxbx id="1" seq="3"/>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173" name="Rectangle 173"/>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4/13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174" name="Rectangle 174"/>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175" name="Rectangle 175"/>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Milan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176" name="Rectangle 176"/>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77" name="Rectangle 177"/>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17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9">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179" name="Rectangle 179"/>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180" name="Rectangle 180"/>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02/10/2026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181" name="Rectangle 181"/>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182" name="Rectangle 182"/>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99524"/>
                <wp:effectExtent l="0" t="0" r="0" b="0"/>
                <wp:wrapNone/>
                <wp:docPr id="183" name="Rectangle 183"/>
                <wp:cNvGraphicFramePr/>
                <a:graphic xmlns:a="http://schemas.openxmlformats.org/drawingml/2006/main">
                  <a:graphicData uri="http://schemas.microsoft.com/office/word/2010/wordprocessingShape">
                    <wps:wsp>
                      <wps:cNvSpPr/>
                      <wps:spPr bwMode="auto">
                        <a:xfrm>
                          <a:off x="541800" y="1205640"/>
                          <a:ext cx="6508440" cy="8399524"/>
                        </a:xfrm>
                        <a:prstGeom prst="rect">
                          <a:avLst/>
                        </a:prstGeom>
                        <a:ln w="0" cap="sq" cmpd="sng">
                          <a:noFill/>
                          <a:miter lim="800000"/>
                        </a:ln>
                      </wps:spPr>
                      <wps:linkedTxbx id="1" seq="4"/>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186" name="Rectangle 186"/>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5/13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187" name="Rectangle 187"/>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188" name="Rectangle 188"/>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Milan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189" name="Rectangle 189"/>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190" name="Rectangle 190"/>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19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2">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192" name="Rectangle 192"/>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193" name="Rectangle 193"/>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02/10/2026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194" name="Rectangle 194"/>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195" name="Rectangle 195"/>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57336"/>
                <wp:effectExtent l="0" t="0" r="0" b="0"/>
                <wp:wrapNone/>
                <wp:docPr id="196" name="Rectangle 196"/>
                <wp:cNvGraphicFramePr/>
                <a:graphic xmlns:a="http://schemas.openxmlformats.org/drawingml/2006/main">
                  <a:graphicData uri="http://schemas.microsoft.com/office/word/2010/wordprocessingShape">
                    <wps:wsp>
                      <wps:cNvSpPr/>
                      <wps:spPr bwMode="auto">
                        <a:xfrm>
                          <a:off x="541800" y="1205640"/>
                          <a:ext cx="6508440" cy="8457336"/>
                        </a:xfrm>
                        <a:prstGeom prst="rect">
                          <a:avLst/>
                        </a:prstGeom>
                        <a:ln w="0" cap="sq" cmpd="sng">
                          <a:noFill/>
                          <a:miter lim="800000"/>
                        </a:ln>
                      </wps:spPr>
                      <wps:linkedTxbx id="1" seq="5"/>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00" name="Rectangle 200"/>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6/13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201" name="Rectangle 201"/>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202" name="Rectangle 202"/>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Milan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203" name="Rectangle 203"/>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204" name="Rectangle 204"/>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20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6">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206" name="Rectangle 206"/>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207" name="Rectangle 207"/>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02/10/2026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208" name="Rectangle 208"/>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209" name="Rectangle 209"/>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501696"/>
                <wp:effectExtent l="0" t="0" r="0" b="0"/>
                <wp:wrapNone/>
                <wp:docPr id="210" name="Rectangle 210"/>
                <wp:cNvGraphicFramePr/>
                <a:graphic xmlns:a="http://schemas.openxmlformats.org/drawingml/2006/main">
                  <a:graphicData uri="http://schemas.microsoft.com/office/word/2010/wordprocessingShape">
                    <wps:wsp>
                      <wps:cNvSpPr/>
                      <wps:spPr bwMode="auto">
                        <a:xfrm>
                          <a:off x="541800" y="1205640"/>
                          <a:ext cx="6508440" cy="8501696"/>
                        </a:xfrm>
                        <a:prstGeom prst="rect">
                          <a:avLst/>
                        </a:prstGeom>
                        <a:ln w="0" cap="sq" cmpd="sng">
                          <a:noFill/>
                          <a:miter lim="800000"/>
                        </a:ln>
                      </wps:spPr>
                      <wps:linkedTxbx id="1" seq="6"/>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11" name="Rectangle 211"/>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7/13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212" name="Rectangle 212"/>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213" name="Rectangle 213"/>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Milan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214" name="Rectangle 214"/>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215" name="Rectangle 215"/>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21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7">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217" name="Rectangle 217"/>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218" name="Rectangle 218"/>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02/10/2026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219" name="Rectangle 219"/>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220" name="Rectangle 220"/>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06796"/>
                <wp:effectExtent l="0" t="0" r="0" b="0"/>
                <wp:wrapNone/>
                <wp:docPr id="221" name="Rectangle 221"/>
                <wp:cNvGraphicFramePr/>
                <a:graphic xmlns:a="http://schemas.openxmlformats.org/drawingml/2006/main">
                  <a:graphicData uri="http://schemas.microsoft.com/office/word/2010/wordprocessingShape">
                    <wps:wsp>
                      <wps:cNvSpPr/>
                      <wps:spPr bwMode="auto">
                        <a:xfrm>
                          <a:off x="541800" y="1205640"/>
                          <a:ext cx="6508440" cy="8406796"/>
                        </a:xfrm>
                        <a:prstGeom prst="rect">
                          <a:avLst/>
                        </a:prstGeom>
                        <a:ln w="0" cap="sq" cmpd="sng">
                          <a:noFill/>
                          <a:miter lim="800000"/>
                        </a:ln>
                      </wps:spPr>
                      <wps:linkedTxbx id="1" seq="7"/>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22" name="Rectangle 222"/>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8/13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223" name="Rectangle 223"/>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224" name="Rectangle 224"/>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Milan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225" name="Rectangle 225"/>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226" name="Rectangle 226"/>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22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8">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228" name="Rectangle 228"/>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229" name="Rectangle 229"/>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02/10/2026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230" name="Rectangle 230"/>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231" name="Rectangle 231"/>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92242"/>
                <wp:effectExtent l="0" t="0" r="0" b="0"/>
                <wp:wrapNone/>
                <wp:docPr id="232" name="Rectangle 232"/>
                <wp:cNvGraphicFramePr/>
                <a:graphic xmlns:a="http://schemas.openxmlformats.org/drawingml/2006/main">
                  <a:graphicData uri="http://schemas.microsoft.com/office/word/2010/wordprocessingShape">
                    <wps:wsp>
                      <wps:cNvSpPr/>
                      <wps:spPr bwMode="auto">
                        <a:xfrm>
                          <a:off x="541800" y="1205640"/>
                          <a:ext cx="6508440" cy="8492242"/>
                        </a:xfrm>
                        <a:prstGeom prst="rect">
                          <a:avLst/>
                        </a:prstGeom>
                        <a:ln w="0" cap="sq" cmpd="sng">
                          <a:noFill/>
                          <a:miter lim="800000"/>
                        </a:ln>
                      </wps:spPr>
                      <wps:linkedTxbx id="1" seq="8"/>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33" name="Rectangle 233"/>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9/13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234" name="Rectangle 234"/>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235" name="Rectangle 235"/>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Milan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236" name="Rectangle 236"/>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237" name="Rectangle 237"/>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23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9">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239" name="Rectangle 239"/>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240" name="Rectangle 240"/>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02/10/2026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241" name="Rectangle 241"/>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242" name="Rectangle 242"/>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213724"/>
                <wp:effectExtent l="0" t="0" r="0" b="0"/>
                <wp:wrapNone/>
                <wp:docPr id="243" name="Rectangle 243"/>
                <wp:cNvGraphicFramePr/>
                <a:graphic xmlns:a="http://schemas.openxmlformats.org/drawingml/2006/main">
                  <a:graphicData uri="http://schemas.microsoft.com/office/word/2010/wordprocessingShape">
                    <wps:wsp>
                      <wps:cNvSpPr/>
                      <wps:spPr bwMode="auto">
                        <a:xfrm>
                          <a:off x="541800" y="1205640"/>
                          <a:ext cx="6508440" cy="8213724"/>
                        </a:xfrm>
                        <a:prstGeom prst="rect">
                          <a:avLst/>
                        </a:prstGeom>
                        <a:ln w="0" cap="sq" cmpd="sng">
                          <a:noFill/>
                          <a:miter lim="800000"/>
                        </a:ln>
                      </wps:spPr>
                      <wps:linkedTxbx id="1" seq="9"/>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48" name="Rectangle 248"/>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10/13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249" name="Rectangle 249"/>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250" name="Rectangle 250"/>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Milan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251" name="Rectangle 251"/>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252" name="Rectangle 252"/>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25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4">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254" name="Rectangle 254"/>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255" name="Rectangle 255"/>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02/10/2026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256" name="Rectangle 256"/>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257" name="Rectangle 257"/>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433338"/>
                <wp:effectExtent l="0" t="0" r="0" b="0"/>
                <wp:wrapNone/>
                <wp:docPr id="258" name="Rectangle 258"/>
                <wp:cNvGraphicFramePr/>
                <a:graphic xmlns:a="http://schemas.openxmlformats.org/drawingml/2006/main">
                  <a:graphicData uri="http://schemas.microsoft.com/office/word/2010/wordprocessingShape">
                    <wps:wsp>
                      <wps:cNvSpPr/>
                      <wps:spPr bwMode="auto">
                        <a:xfrm>
                          <a:off x="541800" y="1205640"/>
                          <a:ext cx="6508440" cy="8433338"/>
                        </a:xfrm>
                        <a:prstGeom prst="rect">
                          <a:avLst/>
                        </a:prstGeom>
                        <a:ln w="0" cap="sq" cmpd="sng">
                          <a:noFill/>
                          <a:miter lim="800000"/>
                        </a:ln>
                      </wps:spPr>
                      <wps:linkedTxbx id="1" seq="10"/>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59" name="Rectangle 259"/>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11/13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260" name="Rectangle 260"/>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261" name="Rectangle 261"/>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Milan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262" name="Rectangle 262"/>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263" name="Rectangle 263"/>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26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5">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265" name="Rectangle 265"/>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266" name="Rectangle 266"/>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02/10/2026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267" name="Rectangle 267"/>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268" name="Rectangle 268"/>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8334076"/>
                <wp:effectExtent l="0" t="0" r="0" b="0"/>
                <wp:wrapNone/>
                <wp:docPr id="269" name="Rectangle 269"/>
                <wp:cNvGraphicFramePr/>
                <a:graphic xmlns:a="http://schemas.openxmlformats.org/drawingml/2006/main">
                  <a:graphicData uri="http://schemas.microsoft.com/office/word/2010/wordprocessingShape">
                    <wps:wsp>
                      <wps:cNvSpPr/>
                      <wps:spPr bwMode="auto">
                        <a:xfrm>
                          <a:off x="541800" y="1205640"/>
                          <a:ext cx="6508440" cy="8334076"/>
                        </a:xfrm>
                        <a:prstGeom prst="rect">
                          <a:avLst/>
                        </a:prstGeom>
                        <a:ln w="0" cap="sq" cmpd="sng">
                          <a:noFill/>
                          <a:miter lim="800000"/>
                        </a:ln>
                      </wps:spPr>
                      <wps:linkedTxbx id="1" seq="11"/>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70" name="Rectangle 270"/>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12/13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271" name="Rectangle 271"/>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272" name="Rectangle 272"/>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Milan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273" name="Rectangle 273"/>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274" name="Rectangle 274"/>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27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6">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276" name="Rectangle 276"/>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277" name="Rectangle 277"/>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02/10/2026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278" name="Rectangle 278"/>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279" name="Rectangle 279"/>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br w:type="page"/>
      </w:r>
    </w:p>
    <w:p>
      <w:pPr>
        <w:rPr>
          <w:lang w:val="en-US"/>
        </w:rPr>
      </w:pPr>
      <w:r>
        <w:rPr>
          <w:noProof/>
          <w:lang w:eastAsia="de-DE"/>
        </w:rPr>
        <mc:AlternateContent>
          <mc:Choice Requires="wps">
            <w:drawing>
              <wp:anchor distT="0" distB="0" distL="0" distR="0" simplePos="0" relativeHeight="0" behindDoc="0" locked="0" layoutInCell="1" allowOverlap="1">
                <wp:simplePos x="0" y="0"/>
                <wp:positionH relativeFrom="page">
                  <wp:posOffset>541800</wp:posOffset>
                </wp:positionH>
                <wp:positionV relativeFrom="page">
                  <wp:posOffset>1205640</wp:posOffset>
                </wp:positionV>
                <wp:extent cx="6508440" cy="2659734"/>
                <wp:effectExtent l="0" t="0" r="0" b="0"/>
                <wp:wrapNone/>
                <wp:docPr id="280" name="Rectangle 280"/>
                <wp:cNvGraphicFramePr/>
                <a:graphic xmlns:a="http://schemas.openxmlformats.org/drawingml/2006/main">
                  <a:graphicData uri="http://schemas.microsoft.com/office/word/2010/wordprocessingShape">
                    <wps:wsp>
                      <wps:cNvSpPr/>
                      <wps:spPr bwMode="auto">
                        <a:xfrm>
                          <a:off x="541800" y="1205640"/>
                          <a:ext cx="6508440" cy="2659734"/>
                        </a:xfrm>
                        <a:prstGeom prst="rect">
                          <a:avLst/>
                        </a:prstGeom>
                        <a:ln w="0" cap="sq" cmpd="sng">
                          <a:noFill/>
                          <a:miter lim="800000"/>
                        </a:ln>
                      </wps:spPr>
                      <wps:linkedTxbx id="1" seq="12"/>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5943240</wp:posOffset>
                </wp:positionH>
                <wp:positionV relativeFrom="page">
                  <wp:posOffset>9892800</wp:posOffset>
                </wp:positionV>
                <wp:extent cx="1076760" cy="140040"/>
                <wp:effectExtent l="0" t="0" r="0" b="0"/>
                <wp:wrapNone/>
                <wp:docPr id="281" name="Rectangle 281"/>
                <wp:cNvGraphicFramePr/>
                <a:graphic xmlns:a="http://schemas.openxmlformats.org/drawingml/2006/main">
                  <a:graphicData uri="http://schemas.microsoft.com/office/word/2010/wordprocessingShape">
                    <wps:wsp>
                      <wps:cNvSpPr/>
                      <wps:spPr bwMode="auto">
                        <a:xfrm>
                          <a:off x="5943240" y="9892800"/>
                          <a:ext cx="1076760" cy="140040"/>
                        </a:xfrm>
                        <a:prstGeom prst="rect">
                          <a:avLst/>
                        </a:prstGeom>
                        <a:ln w="0" cap="sq" cmpd="sng">
                          <a:noFill/>
                          <a:miter lim="800000"/>
                        </a:ln>
                      </wps:spPr>
                      <wps:txbx>
                        <w:txbxContent>
                          <w:p>
                            <w:pPr>
                              <w:spacing w:before="0" w:after="0" w:line="200" w:lineRule="exact"/>
                              <w:jc w:val="right"/>
                            </w:pPr>
                            <w:r>
                              <w:rPr>
                                <w:rFonts w:ascii="Arial" w:hAnsi="Arial" w:cs="Arial"/>
                                <w:b w:val="false"/>
                                <w:i w:val="false"/>
                                <w:strike w:val="false"/>
                                <w:color w:val="000000"/>
                                <w:spacing w:val="0"/>
                                <w:sz w:val="20"/>
                                <w:u w:val="none"/>
                              </w:rPr>
                              <w:t xml:space="preserve">13/13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9892800</wp:posOffset>
                </wp:positionV>
                <wp:extent cx="2357280" cy="140040"/>
                <wp:effectExtent l="0" t="0" r="0" b="0"/>
                <wp:wrapNone/>
                <wp:docPr id="282" name="Rectangle 282"/>
                <wp:cNvGraphicFramePr/>
                <a:graphic xmlns:a="http://schemas.openxmlformats.org/drawingml/2006/main">
                  <a:graphicData uri="http://schemas.microsoft.com/office/word/2010/wordprocessingShape">
                    <wps:wsp>
                      <wps:cNvSpPr/>
                      <wps:spPr bwMode="auto">
                        <a:xfrm>
                          <a:off x="540000" y="9892800"/>
                          <a:ext cx="2357280" cy="140040"/>
                        </a:xfrm>
                        <a:prstGeom prst="rect">
                          <a:avLst/>
                        </a:prstGeom>
                        <a:ln w="0" cap="sq" cmpd="sng">
                          <a:noFill/>
                          <a:miter lim="800000"/>
                        </a:ln>
                      </wps:spPr>
                      <wps:txbx>
                        <w:txbxContent>
                          <w:p>
                            <w:pPr>
                              <w:spacing w:before="0" w:after="0" w:line="200" w:lineRule="exact"/>
                              <w:jc w:val="left"/>
                            </w:pPr>
                            <w:r>
                              <w:rPr>
                                <w:rFonts w:ascii="Arial" w:hAnsi="Arial" w:cs="Arial"/>
                                <w:b w:val="false"/>
                                <w:i w:val="false"/>
                                <w:strike w:val="false"/>
                                <w:color w:val="000000"/>
                                <w:spacing w:val="0"/>
                                <w:sz w:val="20"/>
                                <w:u w:val="none"/>
                              </w:rPr>
                              <w:t xml:space="preserve">Français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878400</wp:posOffset>
                </wp:positionV>
                <wp:extent cx="6480000" cy="204120"/>
                <wp:effectExtent l="0" t="0" r="0" b="0"/>
                <wp:wrapNone/>
                <wp:docPr id="283" name="Rectangle 283"/>
                <wp:cNvGraphicFramePr/>
                <a:graphic xmlns:a="http://schemas.openxmlformats.org/drawingml/2006/main">
                  <a:graphicData uri="http://schemas.microsoft.com/office/word/2010/wordprocessingShape">
                    <wps:wsp>
                      <wps:cNvSpPr/>
                      <wps:spPr bwMode="auto">
                        <a:xfrm>
                          <a:off x="540000" y="878400"/>
                          <a:ext cx="6480000" cy="204120"/>
                        </a:xfrm>
                        <a:prstGeom prst="rect">
                          <a:avLst/>
                        </a:prstGeom>
                        <a:ln w="0" cap="sq" cmpd="sng">
                          <a:noFill/>
                          <a:miter lim="800000"/>
                        </a:ln>
                      </wps:spPr>
                      <wps:txbx>
                        <w:txbxContent>
                          <w:p>
                            <w:pPr>
                              <w:spacing w:before="0" w:after="0" w:line="280" w:lineRule="exact"/>
                              <w:jc w:val="center"/>
                            </w:pPr>
                            <w:r>
                              <w:rPr>
                                <w:rFonts w:ascii="Arial" w:hAnsi="Arial" w:cs="Arial"/>
                                <w:b w:val="true"/>
                                <w:i w:val="false"/>
                                <w:strike w:val="false"/>
                                <w:color w:val="000000"/>
                                <w:spacing w:val="0"/>
                                <w:sz w:val="28"/>
                                <w:u w:val="none"/>
                              </w:rPr>
                              <w:t xml:space="preserve">FDS - Milan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856800</wp:posOffset>
                </wp:positionV>
                <wp:extent cx="6501600" cy="0"/>
                <wp:effectExtent l="0" t="0" r="0" b="0"/>
                <wp:wrapNone/>
                <wp:docPr id="284" name="Rectangle 284"/>
                <wp:cNvGraphicFramePr/>
                <a:graphic xmlns:a="http://schemas.openxmlformats.org/drawingml/2006/main">
                  <a:graphicData uri="http://schemas.microsoft.com/office/word/2010/wordprocessingShape">
                    <wps:wsp>
                      <wps:cNvSpPr/>
                      <wps:spPr bwMode="auto">
                        <a:xfrm>
                          <a:off x="540000" y="8568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9752400</wp:posOffset>
                </wp:positionV>
                <wp:extent cx="6501600" cy="0"/>
                <wp:effectExtent l="0" t="0" r="0" b="0"/>
                <wp:wrapNone/>
                <wp:docPr id="285" name="Rectangle 285"/>
                <wp:cNvGraphicFramePr/>
                <a:graphic xmlns:a="http://schemas.openxmlformats.org/drawingml/2006/main">
                  <a:graphicData uri="http://schemas.microsoft.com/office/word/2010/wordprocessingShape">
                    <wps:wsp>
                      <wps:cNvSpPr/>
                      <wps:spPr bwMode="auto">
                        <a:xfrm>
                          <a:off x="540000" y="97524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sz w:val="2"/>
        </w:rPr>
        <w:drawing>
          <wp:anchor distT="0" distB="0" distL="0" distR="0" simplePos="0" relativeHeight="251659264" behindDoc="1" locked="0" layoutInCell="1" allowOverlap="1">
            <wp:simplePos x="0" y="0"/>
            <wp:positionH relativeFrom="page">
              <wp:posOffset>3173400</wp:posOffset>
            </wp:positionH>
            <wp:positionV relativeFrom="page">
              <wp:posOffset>71280</wp:posOffset>
            </wp:positionV>
            <wp:extent cx="1114920" cy="743040"/>
            <wp:effectExtent l="0" t="0" r="0" b="0"/>
            <wp:wrapTight wrapText="bothSides">
              <wp:wrapPolygon edited="0">
                <wp:start x="0" y="0"/>
                <wp:lineTo x="0" y="0"/>
                <wp:lineTo x="0" y="0"/>
                <wp:lineTo x="0" y="0"/>
                <wp:lineTo x="0" y="0"/>
              </wp:wrapPolygon>
            </wp:wrapTight>
            <wp:docPr id="28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7">
                      <a:extLst>
                        <a:ext uri="{28A0092B-C50C-407E-A947-70E740481C1C}">
                          <a14:useLocalDpi xmlns:a14="http://schemas.microsoft.com/office/drawing/2010/main" val="0"/>
                        </a:ext>
                      </a:extLst>
                    </a:blip>
                    <a:stretch>
                      <a:fillRect/>
                    </a:stretch>
                  </pic:blipFill>
                  <pic:spPr>
                    <a:xfrm>
                      <a:off x="0" y="0"/>
                      <a:ext cx="1114920" cy="743040"/>
                    </a:xfrm>
                    <a:prstGeom prst="rect">
                      <a:avLst/>
                    </a:prstGeom>
                  </pic:spPr>
                </pic:pic>
              </a:graphicData>
            </a:graphic>
          </wp:anchor>
        </w:drawing>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1087200</wp:posOffset>
                </wp:positionV>
                <wp:extent cx="6501600" cy="0"/>
                <wp:effectExtent l="0" t="0" r="0" b="0"/>
                <wp:wrapNone/>
                <wp:docPr id="287" name="Rectangle 287"/>
                <wp:cNvGraphicFramePr/>
                <a:graphic xmlns:a="http://schemas.openxmlformats.org/drawingml/2006/main">
                  <a:graphicData uri="http://schemas.microsoft.com/office/word/2010/wordprocessingShape">
                    <wps:wsp>
                      <wps:cNvSpPr/>
                      <wps:spPr bwMode="auto">
                        <a:xfrm>
                          <a:off x="540000" y="1087200"/>
                          <a:ext cx="6501600" cy="0"/>
                        </a:xfrm>
                        <a:prstGeom prst="line">
                          <a:avLst/>
                        </a:prstGeom>
                        <a:ln w="18000" cap="sq" cmpd="sng">
                          <a:solidFill>
                            <a:srgbClr val="606060"/>
                          </a:solidFill>
                          <a:miter lim="800000"/>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5311800</wp:posOffset>
                </wp:positionH>
                <wp:positionV relativeFrom="page">
                  <wp:posOffset>204840</wp:posOffset>
                </wp:positionV>
                <wp:extent cx="1700640" cy="231480"/>
                <wp:effectExtent l="0" t="0" r="0" b="0"/>
                <wp:wrapNone/>
                <wp:docPr id="288" name="Rectangle 288"/>
                <wp:cNvGraphicFramePr/>
                <a:graphic xmlns:a="http://schemas.openxmlformats.org/drawingml/2006/main">
                  <a:graphicData uri="http://schemas.microsoft.com/office/word/2010/wordprocessingShape">
                    <wps:wsp>
                      <wps:cNvSpPr/>
                      <wps:spPr bwMode="auto">
                        <a:xfrm>
                          <a:off x="5311800" y="204840"/>
                          <a:ext cx="1700640" cy="231480"/>
                        </a:xfrm>
                        <a:prstGeom prst="rect">
                          <a:avLst/>
                        </a:prstGeom>
                        <a:ln w="0" cap="sq" cmpd="sng">
                          <a:noFill/>
                          <a:miter lim="800000"/>
                        </a:ln>
                      </wps:spPr>
                      <wps:txbx>
                        <w:txbxContent>
                          <w:p>
                            <w:pPr>
                              <w:spacing w:before="0" w:after="0" w:line="160" w:lineRule="exact"/>
                              <w:jc w:val="right"/>
                            </w:pPr>
                            <w:r>
                              <w:rPr>
                                <w:rFonts w:ascii="Arial" w:hAnsi="Arial" w:cs="Arial"/>
                                <w:b w:val="false"/>
                                <w:i w:val="false"/>
                                <w:strike w:val="false"/>
                                <w:color w:val="000000"/>
                                <w:spacing w:val="0"/>
                                <w:sz w:val="16"/>
                                <w:u w:val="none"/>
                              </w:rPr>
                              <w:t xml:space="preserve">Version : 1</w:t>
                            </w:r>
                          </w:p>
                          <w:p>
                            <w:pPr>
                              <w:spacing w:before="0" w:after="0" w:line="160" w:lineRule="exact"/>
                              <w:jc w:val="right"/>
                            </w:pPr>
                            <w:r>
                              <w:rPr>
                                <w:rFonts w:ascii="Arial" w:hAnsi="Arial" w:cs="Arial"/>
                                <w:b w:val="false"/>
                                <w:i w:val="false"/>
                                <w:strike w:val="false"/>
                                <w:color w:val="000000"/>
                                <w:spacing w:val="0"/>
                                <w:sz w:val="16"/>
                                <w:u w:val="none"/>
                              </w:rPr>
                              <w:t xml:space="preserve">Date d'émission : 02/10/2026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3261240</wp:posOffset>
                </wp:positionH>
                <wp:positionV relativeFrom="page">
                  <wp:posOffset>10319040</wp:posOffset>
                </wp:positionV>
                <wp:extent cx="1076760" cy="118800"/>
                <wp:effectExtent l="0" t="0" r="0" b="0"/>
                <wp:wrapNone/>
                <wp:docPr id="289" name="Rectangle 289"/>
                <wp:cNvGraphicFramePr/>
                <a:graphic xmlns:a="http://schemas.openxmlformats.org/drawingml/2006/main">
                  <a:graphicData uri="http://schemas.microsoft.com/office/word/2010/wordprocessingShape">
                    <wps:wsp>
                      <wps:cNvSpPr/>
                      <wps:spPr bwMode="auto">
                        <a:xfrm>
                          <a:off x="3261240" y="10319041"/>
                          <a:ext cx="1076760" cy="118800"/>
                        </a:xfrm>
                        <a:prstGeom prst="rect">
                          <a:avLst/>
                        </a:prstGeom>
                        <a:ln w="0" cap="sq" cmpd="sng">
                          <a:noFill/>
                          <a:miter lim="800000"/>
                        </a:ln>
                      </wps:spPr>
                      <wps:txbx>
                        <w:txbxContent>
                          <w:p>
                            <w:pPr>
                              <w:spacing w:before="0" w:after="0" w:line="160" w:lineRule="exact"/>
                              <w:jc w:val="center"/>
                            </w:pPr>
                            <w:r>
                              <w:rPr>
                                <w:rFonts w:ascii="Arial" w:hAnsi="Arial" w:cs="Arial"/>
                                <w:b w:val="true"/>
                                <w:i w:val="false"/>
                                <w:strike w:val="false"/>
                                <w:color w:val="000000"/>
                                <w:spacing w:val="0"/>
                                <w:sz w:val="16"/>
                                <w:u w:val="single"/>
                              </w:rPr>
                              <w:t xml:space="preserve">LogicSDS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r>
        <w:rPr>
          <w:noProof/>
          <w:lang w:eastAsia="de-DE"/>
        </w:rPr>
        <mc:AlternateContent>
          <mc:Choice Requires="wps">
            <w:drawing>
              <wp:anchor distT="0" distB="0" distL="0" distR="0" simplePos="0" relativeHeight="0" behindDoc="0" locked="0" layoutInCell="1" allowOverlap="1">
                <wp:simplePos x="0" y="0"/>
                <wp:positionH relativeFrom="page">
                  <wp:posOffset>540000</wp:posOffset>
                </wp:positionH>
                <wp:positionV relativeFrom="page">
                  <wp:posOffset>204840</wp:posOffset>
                </wp:positionV>
                <wp:extent cx="2004840" cy="240480"/>
                <wp:effectExtent l="0" t="0" r="0" b="0"/>
                <wp:wrapNone/>
                <wp:docPr id="290" name="Rectangle 290"/>
                <wp:cNvGraphicFramePr/>
                <a:graphic xmlns:a="http://schemas.openxmlformats.org/drawingml/2006/main">
                  <a:graphicData uri="http://schemas.microsoft.com/office/word/2010/wordprocessingShape">
                    <wps:wsp>
                      <wps:cNvSpPr/>
                      <wps:spPr bwMode="auto">
                        <a:xfrm>
                          <a:off x="540000" y="204840"/>
                          <a:ext cx="2004840" cy="240480"/>
                        </a:xfrm>
                        <a:prstGeom prst="rect">
                          <a:avLst/>
                        </a:prstGeom>
                        <a:ln w="0" cap="sq" cmpd="sng">
                          <a:noFill/>
                          <a:miter lim="800000"/>
                        </a:ln>
                      </wps:spPr>
                      <wps:txbx>
                        <w:txbxContent>
                          <w:p>
                            <w:pPr>
                              <w:spacing w:before="0" w:after="0" w:line="180" w:lineRule="exact"/>
                              <w:jc w:val="left"/>
                            </w:pPr>
                            <w:r>
                              <w:rPr>
                                <w:rFonts w:ascii="Arial" w:hAnsi="Arial" w:cs="Arial"/>
                                <w:b w:val="false"/>
                                <w:i w:val="false"/>
                                <w:strike w:val="false"/>
                                <w:color w:val="000000"/>
                                <w:spacing w:val="0"/>
                                <w:sz w:val="18"/>
                                <w:u w:val="single"/>
                              </w:rPr>
                              <w:t xml:space="preserve">Fiche de données de sécurité</w:t>
                            </w:r>
                          </w:p>
                          <w:p>
                            <w:pPr>
                              <w:spacing w:before="0" w:after="0" w:line="160" w:lineRule="exact"/>
                              <w:jc w:val="left"/>
                            </w:pPr>
                            <w:r>
                              <w:rPr>
                                <w:rFonts w:ascii="Arial" w:hAnsi="Arial" w:cs="Arial"/>
                                <w:b w:val="false"/>
                                <w:i w:val="false"/>
                                <w:strike w:val="false"/>
                                <w:color w:val="000000"/>
                                <w:spacing w:val="0"/>
                                <w:sz w:val="16"/>
                                <w:u w:val="none"/>
                              </w:rPr>
                              <w:t xml:space="preserve">Conforme Règlement (CE) n° 2020/878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AlternateContent>
      </w:r>
    </w:p>
    <w:sectPr>
      <w:pgSz w:w="11906" w:h="16838" w:orient="portrait"/>
      <w:pgMar w:top="0" w:right="0" w:bottom="0" w:left="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3EA"/>
    <w:rsid w:val="00124B35"/>
    <w:rsid w:val="006C6556"/>
    <w:rsid w:val="00931FC8"/>
    <w:rsid w:val="00B003A3"/>
    <w:rsid w:val="00C173EA"/>
    <w:rsid w:val="00D362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8DB4A-2A23-44F0-A0D6-1A0CF2346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lang w:val="de-DE" w:eastAsia="de-DE"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pPr>
      <w:spacing w:after="160" w:line="259" w:lineRule="auto"/>
    </w:pPr>
    <w:rPr>
      <w:sz w:val="22"/>
      <w:szCs w:val="22"/>
      <w:lang w:eastAsia="en-US"/>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jpg" Id="rId915" /><Relationship Type="http://schemas.openxmlformats.org/officeDocument/2006/relationships/image" Target="/media/image2.jpg" Id="rId916" /><Relationship Type="http://schemas.openxmlformats.org/officeDocument/2006/relationships/image" Target="/media/image3.jpg" Id="rId917" /><Relationship Type="http://schemas.openxmlformats.org/officeDocument/2006/relationships/image" Target="/media/image4.jpg" Id="rId918" /><Relationship Type="http://schemas.openxmlformats.org/officeDocument/2006/relationships/image" Target="/media/image5.jpg" Id="rId919" /><Relationship Type="http://schemas.openxmlformats.org/officeDocument/2006/relationships/image" Target="/media/image6.jpg" Id="rId920" /><Relationship Type="http://schemas.openxmlformats.org/officeDocument/2006/relationships/image" Target="/media/image7.jpg" Id="rId921" /><Relationship Type="http://schemas.openxmlformats.org/officeDocument/2006/relationships/image" Target="/media/image8.jpg" Id="rId922" /><Relationship Type="http://schemas.openxmlformats.org/officeDocument/2006/relationships/image" Target="/media/image9.jpg" Id="rId923" /><Relationship Type="http://schemas.openxmlformats.org/officeDocument/2006/relationships/image" Target="/media/image10.jpg" Id="rId924" /><Relationship Type="http://schemas.openxmlformats.org/officeDocument/2006/relationships/image" Target="/media/image11.jpg" Id="rId925" /><Relationship Type="http://schemas.openxmlformats.org/officeDocument/2006/relationships/image" Target="/media/image12.jpg" Id="rId926" /><Relationship Type="http://schemas.openxmlformats.org/officeDocument/2006/relationships/image" Target="/media/image13.jpg" Id="rId927" /><Relationship Type="http://schemas.openxmlformats.org/officeDocument/2006/relationships/image" Target="/media/image14.jpg" Id="rId928" /><Relationship Type="http://schemas.openxmlformats.org/officeDocument/2006/relationships/image" Target="/media/image15.jpg" Id="rId929" /><Relationship Type="http://schemas.openxmlformats.org/officeDocument/2006/relationships/image" Target="/media/image16.jpg" Id="rId930" /><Relationship Type="http://schemas.openxmlformats.org/officeDocument/2006/relationships/image" Target="/media/image17.jpg" Id="rId931" /><Relationship Type="http://schemas.openxmlformats.org/officeDocument/2006/relationships/image" Target="/media/image18.jpg" Id="rId932" /><Relationship Type="http://schemas.openxmlformats.org/officeDocument/2006/relationships/image" Target="/media/image19.jpg" Id="rId933" /><Relationship Type="http://schemas.openxmlformats.org/officeDocument/2006/relationships/image" Target="/media/image20.jpg" Id="rId934" /><Relationship Type="http://schemas.openxmlformats.org/officeDocument/2006/relationships/image" Target="/media/image21.jpg" Id="rId935" /><Relationship Type="http://schemas.openxmlformats.org/officeDocument/2006/relationships/image" Target="/media/image22.jpg" Id="rId936" /><Relationship Type="http://schemas.openxmlformats.org/officeDocument/2006/relationships/image" Target="/media/image23.jpg" Id="rId93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