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f754bf8b097449cf" /><Relationship Type="http://schemas.openxmlformats.org/package/2006/relationships/metadata/core-properties" Target="/package/services/metadata/core-properties/e9bb9d8d91b342e79654558f9c209534.psmdcp" Id="R02f7e7d2a9a342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28258"/>
                <wp:effectExtent l="0" t="0" r="0" b="0"/>
                <wp:wrapNone/>
                <wp:docPr id="214" name="Rectangle 214"/>
                <wp:cNvGraphicFramePr/>
                <a:graphic xmlns:a="http://schemas.openxmlformats.org/drawingml/2006/main">
                  <a:graphicData uri="http://schemas.microsoft.com/office/word/2010/wordprocessingShape">
                    <wps:wsp>
                      <wps:cNvSpPr/>
                      <wps:spPr bwMode="auto">
                        <a:xfrm>
                          <a:off x="541800" y="1205640"/>
                          <a:ext cx="6508440" cy="8328258"/>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Thé des sapins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charlotte Galbes : 0632985205 charlotte.galbes@orange.fr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72"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citral (5392-40-5) | linalol; 3,7-diméthyl-1,6- octadién-3-ol; dl-linalol (78-70-6) | Linalyl acetate (115-95-7) | l-carvone; (5R)-2-méthyl-5- (prop-1-en-2-yl)cyclohex-2-en- 1-one (6485-40-1)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benzoate de benzyle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120-51-4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607-085-00-9</w:t>
                                  </w:r>
                                </w:p>
                                <w:p>
                                  <w:pPr>
                                    <w:spacing w:before="0" w:after="0" w:line="160" w:lineRule="exact"/>
                                    <w:jc w:val="left"/>
                                  </w:pPr>
                                  <w:r>
                                    <w:rPr>
                                      <w:rFonts w:ascii="Arial" w:hAnsi="Arial" w:cs="Arial"/>
                                      <w:b w:val="false"/>
                                      <w:i w:val="false"/>
                                      <w:strike w:val="false"/>
                                      <w:color w:val="000000"/>
                                      <w:spacing w:val="0"/>
                                      <w:sz w:val="16"/>
                                      <w:u w:val="none"/>
                                    </w:rPr>
                                    <w:t xml:space="preserve">N°CE : 204-402-9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0,75425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Linalyl acetate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115-95-7</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204-116-4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0,3093</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0,213176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l-carvone; (5R)-2-méthyl-5- (prop-1-en-2-yl)cyclohex-2-en- 1-one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6485-40-1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606-148-00-8</w:t>
                                  </w:r>
                                </w:p>
                                <w:p>
                                  <w:pPr>
                                    <w:spacing w:before="0" w:after="0" w:line="160" w:lineRule="exact"/>
                                    <w:jc w:val="left"/>
                                  </w:pPr>
                                  <w:r>
                                    <w:rPr>
                                      <w:rFonts w:ascii="Arial" w:hAnsi="Arial" w:cs="Arial"/>
                                      <w:b w:val="false"/>
                                      <w:i w:val="false"/>
                                      <w:strike w:val="false"/>
                                      <w:color w:val="000000"/>
                                      <w:spacing w:val="0"/>
                                      <w:sz w:val="16"/>
                                      <w:u w:val="none"/>
                                    </w:rPr>
                                    <w:t xml:space="preserve">N°CE : 229-352-5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0,2025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citral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5392-40-5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605-019-00-3</w:t>
                                  </w:r>
                                </w:p>
                                <w:p>
                                  <w:pPr>
                                    <w:spacing w:before="0" w:after="0" w:line="160" w:lineRule="exact"/>
                                    <w:jc w:val="left"/>
                                  </w:pPr>
                                  <w:r>
                                    <w:rPr>
                                      <w:rFonts w:ascii="Arial" w:hAnsi="Arial" w:cs="Arial"/>
                                      <w:b w:val="false"/>
                                      <w:i w:val="false"/>
                                      <w:strike w:val="false"/>
                                      <w:color w:val="000000"/>
                                      <w:spacing w:val="0"/>
                                      <w:sz w:val="16"/>
                                      <w:u w:val="none"/>
                                    </w:rPr>
                                    <w:t xml:space="preserve">N°CE : 226-394-6</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0,1254</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la peau, laver immédiatement et abondamment avec de l'eau et du savon.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les vêtements contaminés et saturés.</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réactions cutanées,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symptômes suivants peuvent survenir :</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Réactions allergiques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2836"/>
                              <w:gridCol w:w="7314"/>
                            </w:tblGrid>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Mousse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Porter un appareil respiratoire autonome et des vêtements de protection contre les produits chimiques.</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Supprimer toute source d'incendie potentiel.</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Porter un appareil respiratoire en cas d'exposition aux vapeurs/poussières/aérosols.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Supprimer toute source d'incendie potentiel.</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 sol/sous-sol.</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les eaux de surface ou les égouts.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bl>
                          <w:tbl>
                            <w:tblPr>
                              <w:tblLayout w:type="fixed"/>
                              <w:tblInd w:w="0" w:type="dxa"/>
                              <w:tblCellMar>
                                <w:left w:w="0" w:type="dxa"/>
                                <w:right w:w="0" w:type="dxa"/>
                              </w:tblCellMar>
                            </w:tblPr>
                            <w:tblGrid>
                              <w:gridCol w:w="2836"/>
                              <w:gridCol w:w="5386"/>
                              <w:gridCol w:w="1928"/>
                            </w:tblGrid>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Fermez toujours hermétiquement les contenants après avoir retiré le produit.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La poussière peut former un mélange explosif avec l'air.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tout contact avec la peau, les yeux et les vêtements.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 laver les mains avant les pauses et après le travail.</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fumer pendant l'utilisation.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Assurer une ventilation adéquate de la zone de stockage.</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Classe de stockage : Solides inflammables</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Protéger contre: chaleur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2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4"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Gants jetables.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2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9">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bl>
                          <w:tbl>
                            <w:tblPr>
                              <w:tblLayout w:type="fixed"/>
                              <w:tblInd w:w="0" w:type="dxa"/>
                              <w:tblCellMar>
                                <w:left w:w="0" w:type="dxa"/>
                                <w:right w:w="0" w:type="dxa"/>
                              </w:tblCellMar>
                            </w:tblPr>
                            <w:tblGrid>
                              <w:gridCol w:w="2552"/>
                              <w:gridCol w:w="2552"/>
                              <w:gridCol w:w="2552"/>
                              <w:gridCol w:w="2494"/>
                            </w:tblGrid>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jaune-orange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98 °C</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bl>
                          <w:tbl>
                            <w:tblPr>
                              <w:tblLayout w:type="fixed"/>
                              <w:tblInd w:w="0" w:type="dxa"/>
                              <w:tblCellMar>
                                <w:left w:w="0" w:type="dxa"/>
                                <w:right w:w="0" w:type="dxa"/>
                              </w:tblCellMar>
                            </w:tblPr>
                            <w:tblGrid>
                              <w:gridCol w:w="2836"/>
                              <w:gridCol w:w="4536"/>
                              <w:gridCol w:w="2778"/>
                            </w:tblGrid>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décharge électrostatique</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exposition prolongée à une chaleur extrême</w:t>
                                  </w:r>
                                </w:p>
                              </w:tc>
                            </w:tr>
                            <w:tr>
                              <w:trPr>
                                <w:trHeight w:val="44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Tenir à l'écart de la chaleur, des surfaces chaudes, des étincelles, des flammes nues et de toute autre source d'inflammation. NE PAS FUMER.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Peut provoquer une réaction allergique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bl>
                          <w:tbl>
                            <w:tblPr>
                              <w:tblLayout w:type="fixed"/>
                              <w:tblInd w:w="0" w:type="dxa"/>
                              <w:tblCellMar>
                                <w:left w:w="0" w:type="dxa"/>
                                <w:right w:w="0" w:type="dxa"/>
                              </w:tblCellMar>
                            </w:tblPr>
                            <w:tblGrid>
                              <w:gridCol w:w="2836"/>
                              <w:gridCol w:w="2268"/>
                              <w:gridCol w:w="5046"/>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Nocif pour la vie aquatique avec des effets durables.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568"/>
                              <w:gridCol w:w="6748"/>
                            </w:tblGrid>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964"/>
                              <w:gridCol w:w="738"/>
                              <w:gridCol w:w="510"/>
                              <w:gridCol w:w="624"/>
                              <w:gridCol w:w="568"/>
                              <w:gridCol w:w="1078"/>
                              <w:gridCol w:w="5670"/>
                            </w:tblGrid>
                            <w:tr>
                              <w:trPr>
                                <w:trHeight w:val="1324" w:hRule="atLeast"/>
                              </w:trPr>
                              <w:tc>
                                <w:tcPr>
                                  <w:tcW w:w="2830"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7"/>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gridSpan w:val="2"/>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06/08/2026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H302</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en cas d'ingestion.</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H411</w:t>
                                  </w:r>
                                </w:p>
                              </w:tc>
                              <w:tc>
                                <w:tcPr>
                                  <w:tcW w:w="8444" w:type="dxa"/>
                                  <w:gridSpan w:val="5"/>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Toxique pour les organismes aquatiques, entraîne des effets néfastes à long terme.</w:t>
                                  </w:r>
                                </w:p>
                              </w:tc>
                            </w:tr>
                          </w:tbl>
                          <w:tbl>
                            <w:tblPr>
                              <w:tblLayout w:type="fixed"/>
                              <w:tblInd w:w="0" w:type="dxa"/>
                              <w:tblCellMar>
                                <w:left w:w="0" w:type="dxa"/>
                                <w:right w:w="0" w:type="dxa"/>
                              </w:tblCellMar>
                            </w:tblPr>
                            <w:tblGrid>
                              <w:gridCol w:w="1702"/>
                              <w:gridCol w:w="8448"/>
                            </w:tblGrid>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15" name="Rectangle 21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16" name="Rectangle 21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17" name="Rectangle 21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18" name="Rectangle 21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19" name="Rectangle 21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21" name="Rectangle 22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22" name="Rectangle 22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23" name="Rectangle 22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4" name="Rectangle 22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161002"/>
                <wp:effectExtent l="0" t="0" r="0" b="0"/>
                <wp:wrapNone/>
                <wp:docPr id="225" name="Rectangle 225"/>
                <wp:cNvGraphicFramePr/>
                <a:graphic xmlns:a="http://schemas.openxmlformats.org/drawingml/2006/main">
                  <a:graphicData uri="http://schemas.microsoft.com/office/word/2010/wordprocessingShape">
                    <wps:wsp>
                      <wps:cNvSpPr/>
                      <wps:spPr bwMode="auto">
                        <a:xfrm>
                          <a:off x="541800" y="1205640"/>
                          <a:ext cx="6508440" cy="8161002"/>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26" name="Rectangle 22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27" name="Rectangle 22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28" name="Rectangle 22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29" name="Rectangle 22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30" name="Rectangle 23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3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32" name="Rectangle 23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33" name="Rectangle 23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34" name="Rectangle 23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35" name="Rectangle 23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24986"/>
                <wp:effectExtent l="0" t="0" r="0" b="0"/>
                <wp:wrapNone/>
                <wp:docPr id="236" name="Rectangle 236"/>
                <wp:cNvGraphicFramePr/>
                <a:graphic xmlns:a="http://schemas.openxmlformats.org/drawingml/2006/main">
                  <a:graphicData uri="http://schemas.microsoft.com/office/word/2010/wordprocessingShape">
                    <wps:wsp>
                      <wps:cNvSpPr/>
                      <wps:spPr bwMode="auto">
                        <a:xfrm>
                          <a:off x="541800" y="1205640"/>
                          <a:ext cx="6508440" cy="832498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37" name="Rectangle 23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38" name="Rectangle 23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39" name="Rectangle 23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40" name="Rectangle 24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41" name="Rectangle 24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4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43" name="Rectangle 24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44" name="Rectangle 24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45" name="Rectangle 24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46" name="Rectangle 24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26076"/>
                <wp:effectExtent l="0" t="0" r="0" b="0"/>
                <wp:wrapNone/>
                <wp:docPr id="247" name="Rectangle 247"/>
                <wp:cNvGraphicFramePr/>
                <a:graphic xmlns:a="http://schemas.openxmlformats.org/drawingml/2006/main">
                  <a:graphicData uri="http://schemas.microsoft.com/office/word/2010/wordprocessingShape">
                    <wps:wsp>
                      <wps:cNvSpPr/>
                      <wps:spPr bwMode="auto">
                        <a:xfrm>
                          <a:off x="541800" y="1205640"/>
                          <a:ext cx="6508440" cy="8326076"/>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50" name="Rectangle 25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51" name="Rectangle 25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52" name="Rectangle 25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53" name="Rectangle 25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54" name="Rectangle 25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5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56" name="Rectangle 25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57" name="Rectangle 25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58" name="Rectangle 25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59" name="Rectangle 25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4438"/>
                <wp:effectExtent l="0" t="0" r="0" b="0"/>
                <wp:wrapNone/>
                <wp:docPr id="260" name="Rectangle 260"/>
                <wp:cNvGraphicFramePr/>
                <a:graphic xmlns:a="http://schemas.openxmlformats.org/drawingml/2006/main">
                  <a:graphicData uri="http://schemas.microsoft.com/office/word/2010/wordprocessingShape">
                    <wps:wsp>
                      <wps:cNvSpPr/>
                      <wps:spPr bwMode="auto">
                        <a:xfrm>
                          <a:off x="541800" y="1205640"/>
                          <a:ext cx="6508440" cy="8354438"/>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61" name="Rectangle 26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62" name="Rectangle 26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63" name="Rectangle 26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64" name="Rectangle 26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65" name="Rectangle 26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6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67" name="Rectangle 26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68" name="Rectangle 26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69" name="Rectangle 26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70" name="Rectangle 27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80262"/>
                <wp:effectExtent l="0" t="0" r="0" b="0"/>
                <wp:wrapNone/>
                <wp:docPr id="271" name="Rectangle 271"/>
                <wp:cNvGraphicFramePr/>
                <a:graphic xmlns:a="http://schemas.openxmlformats.org/drawingml/2006/main">
                  <a:graphicData uri="http://schemas.microsoft.com/office/word/2010/wordprocessingShape">
                    <wps:wsp>
                      <wps:cNvSpPr/>
                      <wps:spPr bwMode="auto">
                        <a:xfrm>
                          <a:off x="541800" y="1205640"/>
                          <a:ext cx="6508440" cy="8280262"/>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72" name="Rectangle 27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73" name="Rectangle 27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74" name="Rectangle 27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75" name="Rectangle 27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76" name="Rectangle 27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7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78" name="Rectangle 27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79" name="Rectangle 27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80" name="Rectangle 28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81" name="Rectangle 28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96604"/>
                <wp:effectExtent l="0" t="0" r="0" b="0"/>
                <wp:wrapNone/>
                <wp:docPr id="282" name="Rectangle 282"/>
                <wp:cNvGraphicFramePr/>
                <a:graphic xmlns:a="http://schemas.openxmlformats.org/drawingml/2006/main">
                  <a:graphicData uri="http://schemas.microsoft.com/office/word/2010/wordprocessingShape">
                    <wps:wsp>
                      <wps:cNvSpPr/>
                      <wps:spPr bwMode="auto">
                        <a:xfrm>
                          <a:off x="541800" y="1205640"/>
                          <a:ext cx="6508440" cy="8496604"/>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83" name="Rectangle 28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84" name="Rectangle 28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85" name="Rectangle 28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86" name="Rectangle 28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87" name="Rectangle 28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8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89" name="Rectangle 28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90" name="Rectangle 29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91" name="Rectangle 29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92" name="Rectangle 29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91160"/>
                <wp:effectExtent l="0" t="0" r="0" b="0"/>
                <wp:wrapNone/>
                <wp:docPr id="293" name="Rectangle 293"/>
                <wp:cNvGraphicFramePr/>
                <a:graphic xmlns:a="http://schemas.openxmlformats.org/drawingml/2006/main">
                  <a:graphicData uri="http://schemas.microsoft.com/office/word/2010/wordprocessingShape">
                    <wps:wsp>
                      <wps:cNvSpPr/>
                      <wps:spPr bwMode="auto">
                        <a:xfrm>
                          <a:off x="541800" y="1205640"/>
                          <a:ext cx="6508440" cy="8391160"/>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94" name="Rectangle 29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95" name="Rectangle 29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96" name="Rectangle 29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97" name="Rectangle 29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98" name="Rectangle 29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9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00" name="Rectangle 30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01" name="Rectangle 30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02" name="Rectangle 30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03" name="Rectangle 30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46428"/>
                <wp:effectExtent l="0" t="0" r="0" b="0"/>
                <wp:wrapNone/>
                <wp:docPr id="304" name="Rectangle 304"/>
                <wp:cNvGraphicFramePr/>
                <a:graphic xmlns:a="http://schemas.openxmlformats.org/drawingml/2006/main">
                  <a:graphicData uri="http://schemas.microsoft.com/office/word/2010/wordprocessingShape">
                    <wps:wsp>
                      <wps:cNvSpPr/>
                      <wps:spPr bwMode="auto">
                        <a:xfrm>
                          <a:off x="541800" y="1205640"/>
                          <a:ext cx="6508440" cy="8446428"/>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05" name="Rectangle 30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06" name="Rectangle 30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07" name="Rectangle 30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08" name="Rectangle 30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09" name="Rectangle 30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1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11" name="Rectangle 31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12" name="Rectangle 31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13" name="Rectangle 31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14" name="Rectangle 31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1919444"/>
                <wp:effectExtent l="0" t="0" r="0" b="0"/>
                <wp:wrapNone/>
                <wp:docPr id="315" name="Rectangle 315"/>
                <wp:cNvGraphicFramePr/>
                <a:graphic xmlns:a="http://schemas.openxmlformats.org/drawingml/2006/main">
                  <a:graphicData uri="http://schemas.microsoft.com/office/word/2010/wordprocessingShape">
                    <wps:wsp>
                      <wps:cNvSpPr/>
                      <wps:spPr bwMode="auto">
                        <a:xfrm>
                          <a:off x="541800" y="1205640"/>
                          <a:ext cx="6508440" cy="1919444"/>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16" name="Rectangle 31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17" name="Rectangle 31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18" name="Rectangle 31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Thé des sapins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19" name="Rectangle 31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20" name="Rectangle 32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2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22" name="Rectangle 32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23" name="Rectangle 32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24" name="Rectangle 32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25" name="Rectangle 32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 Type="http://schemas.openxmlformats.org/officeDocument/2006/relationships/image" Target="/media/image12.jpg" Id="rId92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