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g" ContentType="image/jpeg"/>
  <Default Extension="psmdcp"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dd45ce6fb8e74042" /><Relationship Type="http://schemas.openxmlformats.org/package/2006/relationships/metadata/core-properties" Target="/package/services/metadata/core-properties/0c0dbf138f904a598a94a07ee9671723.psmdcp" Id="R3ba63c5e1a8348e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7560334"/>
                <wp:effectExtent l="0" t="0" r="0" b="0"/>
                <wp:wrapNone/>
                <wp:docPr id="139" name="Rectangle 139"/>
                <wp:cNvGraphicFramePr/>
                <a:graphic xmlns:a="http://schemas.openxmlformats.org/drawingml/2006/main">
                  <a:graphicData uri="http://schemas.microsoft.com/office/word/2010/wordprocessingShape">
                    <wps:wsp>
                      <wps:cNvSpPr/>
                      <wps:spPr bwMode="auto">
                        <a:xfrm>
                          <a:off x="541800" y="1205640"/>
                          <a:ext cx="6508440" cy="7560334"/>
                        </a:xfrm>
                        <a:prstGeom prst="rect">
                          <a:avLst/>
                        </a:prstGeom>
                        <a:ln w="0" cap="sq" cmpd="sng">
                          <a:noFill/>
                          <a:miter lim="800000"/>
                        </a:ln>
                      </wps:spPr>
                      <wps:txbx id="1">
                        <w:txbxContent>
                          <w:tbl>
                            <w:tblPr>
                              <w:tblLayout w:type="fixed"/>
                              <w:tblInd w:w="0" w:type="dxa"/>
                              <w:tblCellMar>
                                <w:left w:w="0" w:type="dxa"/>
                                <w:right w:w="0" w:type="dxa"/>
                              </w:tblCellMar>
                            </w:tblPr>
                            <w:tblGrid>
                              <w:gridCol w:w="2268"/>
                              <w:gridCol w:w="226"/>
                              <w:gridCol w:w="100"/>
                              <w:gridCol w:w="510"/>
                              <w:gridCol w:w="2608"/>
                              <w:gridCol w:w="4480"/>
                            </w:tblGrid>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56" w:type="dxa"/>
                                    <w:left w:w="56" w:type="dxa"/>
                                    <w:bottom w:w="56"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 Identification de la substance/du mélange et de la société/de l’entreprise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1.1 - Identificateur de produit</w:t>
                                  </w:r>
                                </w:p>
                              </w:tc>
                            </w:tr>
                            <w:tr>
                              <w:trPr>
                                <w:trHeight w:val="44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Nom commercial du produit/désignation</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FDs - Hors serie 9 Infiltration 10%</w:t>
                                  </w:r>
                                </w:p>
                              </w:tc>
                            </w:tr>
                            <w:tr>
                              <w:trPr>
                                <w:trHeight w:val="22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Nom chimique</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Type de produit</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Mélange</w:t>
                                  </w:r>
                                </w:p>
                              </w:tc>
                            </w:tr>
                            <w:tr>
                              <w:trPr>
                                <w:trHeight w:val="22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Code produit</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FDS Casa loca</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1.2 - Utilisations identifiées pertinentes de la substance ou du mélange et utilisations déconseillées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5666"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Utilisations identifiées pertinentes</w:t>
                                  </w:r>
                                </w:p>
                              </w:tc>
                              <w:tc>
                                <w:tcPr>
                                  <w:tcW w:w="4474"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Usage consommateur,Usage professionnel</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1.3 - Renseignements concernant le fournisseur de la fiche de données de sécurité</w:t>
                                  </w:r>
                                </w:p>
                              </w:tc>
                            </w:tr>
                            <w:tr>
                              <w:trPr>
                                <w:trHeight w:val="1103"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Casa Loca</w:t>
                                  </w:r>
                                </w:p>
                                <w:p>
                                  <w:pPr>
                                    <w:spacing w:before="0" w:after="0" w:line="200" w:lineRule="exact"/>
                                    <w:jc w:val="left"/>
                                  </w:pPr>
                                  <w:r>
                                    <w:rPr>
                                      <w:rFonts w:ascii="Arial" w:hAnsi="Arial" w:cs="Arial"/>
                                      <w:b w:val="false"/>
                                      <w:i w:val="false"/>
                                      <w:strike w:val="false"/>
                                      <w:color w:val="000000"/>
                                      <w:spacing w:val="0"/>
                                      <w:sz w:val="20"/>
                                      <w:u w:val="none"/>
                                    </w:rPr>
                                    <w:t xml:space="preserve">214 rue gornet boivin</w:t>
                                  </w:r>
                                </w:p>
                                <w:p>
                                  <w:pPr>
                                    <w:spacing w:before="0" w:after="0" w:line="200" w:lineRule="exact"/>
                                    <w:jc w:val="left"/>
                                  </w:pPr>
                                  <w:r>
                                    <w:rPr>
                                      <w:rFonts w:ascii="Arial" w:hAnsi="Arial" w:cs="Arial"/>
                                      <w:b w:val="false"/>
                                      <w:i w:val="false"/>
                                      <w:strike w:val="false"/>
                                      <w:color w:val="000000"/>
                                      <w:spacing w:val="0"/>
                                      <w:sz w:val="20"/>
                                      <w:u w:val="none"/>
                                    </w:rPr>
                                    <w:t xml:space="preserve">10100 Romilly sur seine France</w:t>
                                  </w:r>
                                </w:p>
                                <w:p>
                                  <w:pPr>
                                    <w:spacing w:before="0" w:after="0" w:line="200" w:lineRule="exact"/>
                                    <w:jc w:val="left"/>
                                  </w:pPr>
                                  <w:r>
                                    <w:rPr>
                                      <w:rFonts w:ascii="Arial" w:hAnsi="Arial" w:cs="Arial"/>
                                      <w:b w:val="false"/>
                                      <w:i w:val="false"/>
                                      <w:strike w:val="false"/>
                                      <w:color w:val="000000"/>
                                      <w:spacing w:val="0"/>
                                      <w:sz w:val="20"/>
                                      <w:u w:val="none"/>
                                    </w:rPr>
                                    <w:t xml:space="preserve">Téléphone : 0632985205</w:t>
                                  </w:r>
                                </w:p>
                                <w:p>
                                  <w:pPr>
                                    <w:spacing w:before="0" w:after="0" w:line="200" w:lineRule="exact"/>
                                    <w:jc w:val="left"/>
                                  </w:pPr>
                                  <w:r>
                                    <w:rPr>
                                      <w:rFonts w:ascii="Arial" w:hAnsi="Arial" w:cs="Arial"/>
                                      <w:b w:val="false"/>
                                      <w:i w:val="false"/>
                                      <w:strike w:val="false"/>
                                      <w:color w:val="000000"/>
                                      <w:spacing w:val="0"/>
                                      <w:sz w:val="20"/>
                                      <w:u w:val="none"/>
                                    </w:rPr>
                                    <w:t xml:space="preserve">Site web www.sublimatelier.fr</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1.4 - Numéro d’appel d’urgence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ORFILA + 33 (0)1 45 42 59 59 France</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2: Identification des dangers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2.1 - Classification de la substance ou du mélange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Classification selon règlement (CE) N° 1272/2008 [CLP]</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546"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Chronic 3</w:t>
                                  </w:r>
                                </w:p>
                              </w:tc>
                              <w:tc>
                                <w:tcPr>
                                  <w:tcW w:w="759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3</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2.2 - Éléments d'étiquetage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étiquetage selon le règlement (CE) N° 1272/2008 [CLP]</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Mention d'avertissement</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Pictogrammes</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Mentions de danger</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H412</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Nocif pour les organismes aquatiques, entraîne des effets néfastes à long terme.</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Conseils de prudence</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P101</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En cas de consultation d'un médecin, garder à disposition le récipient ou l'étiquette.</w:t>
                                  </w: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P102</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Tenir hors de portée des enfants.</w:t>
                                  </w: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P103</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Lire attentivement et bien respecter toutes les instructions.</w:t>
                                  </w: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P273</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Éviter le rejet dans l'environnement.</w:t>
                                  </w:r>
                                </w:p>
                              </w:tc>
                            </w:tr>
                            <w:tr>
                              <w:trPr>
                                <w:trHeight w:val="43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P501</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Éliminer le contenu/le récipient dans une installation de recyclage ou d'élimination des déchets approuvée conformément à la réglementation locale.</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Phrases EUH</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bl>
                          <w:tbl>
                            <w:tblPr>
                              <w:tblLayout w:type="fixed"/>
                              <w:tblInd w:w="0" w:type="dxa"/>
                              <w:tblCellMar>
                                <w:left w:w="0" w:type="dxa"/>
                                <w:right w:w="0" w:type="dxa"/>
                              </w:tblCellMar>
                            </w:tblPr>
                            <w:tblGrid>
                              <w:gridCol w:w="2268"/>
                              <w:gridCol w:w="226"/>
                              <w:gridCol w:w="2042"/>
                              <w:gridCol w:w="1078"/>
                              <w:gridCol w:w="2268"/>
                              <w:gridCol w:w="2268"/>
                            </w:tblGrid>
                            <w:tr>
                              <w:trPr>
                                <w:trHeight w:val="1314"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EUH208</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Contient cinnamaldéhyde; 3-phénylprop- 2-énal; aldéhyde cinnamique; cinnamal;</w:t>
                                  </w:r>
                                </w:p>
                                <w:p>
                                  <w:pPr>
                                    <w:spacing w:before="0" w:after="0" w:line="200" w:lineRule="exact"/>
                                    <w:jc w:val="left"/>
                                  </w:pPr>
                                  <w:r>
                                    <w:rPr>
                                      <w:rFonts w:ascii="Arial" w:hAnsi="Arial" w:cs="Arial"/>
                                      <w:b w:val="false"/>
                                      <w:i w:val="false"/>
                                      <w:strike w:val="false"/>
                                      <w:color w:val="000000"/>
                                      <w:spacing w:val="0"/>
                                      <w:sz w:val="20"/>
                                      <w:u w:val="none"/>
                                    </w:rPr>
                                    <w:t xml:space="preserve">(104-55-2) | (R)-p-mentha-1,8-diène (5989-27-5) |</w:t>
                                  </w:r>
                                </w:p>
                                <w:p>
                                  <w:pPr>
                                    <w:spacing w:before="0" w:after="0" w:line="200" w:lineRule="exact"/>
                                    <w:jc w:val="left"/>
                                  </w:pPr>
                                  <w:r>
                                    <w:rPr>
                                      <w:rFonts w:ascii="Arial" w:hAnsi="Arial" w:cs="Arial"/>
                                      <w:b w:val="false"/>
                                      <w:i w:val="false"/>
                                      <w:strike w:val="false"/>
                                      <w:color w:val="000000"/>
                                      <w:spacing w:val="0"/>
                                      <w:sz w:val="20"/>
                                      <w:u w:val="none"/>
                                    </w:rPr>
                                    <w:t xml:space="preserve">1-(1,2,3,4,5,6,7,8-octahydro-2,3,8,8-tetramethyl-2-naphthyl)ethan-1-one (54464-57-2)</w:t>
                                  </w:r>
                                </w:p>
                                <w:p>
                                  <w:pPr>
                                    <w:spacing w:before="0" w:after="0" w:line="200" w:lineRule="exact"/>
                                    <w:jc w:val="left"/>
                                  </w:pPr>
                                  <w:r>
                                    <w:rPr>
                                      <w:rFonts w:ascii="Arial" w:hAnsi="Arial" w:cs="Arial"/>
                                      <w:b w:val="false"/>
                                      <w:i w:val="false"/>
                                      <w:strike w:val="false"/>
                                      <w:color w:val="000000"/>
                                      <w:spacing w:val="0"/>
                                      <w:sz w:val="20"/>
                                      <w:u w:val="none"/>
                                    </w:rPr>
                                    <w:t xml:space="preserve">| Acetyl cedrene (32388-55-9) |</w:t>
                                  </w:r>
                                </w:p>
                                <w:p>
                                  <w:pPr>
                                    <w:spacing w:before="0" w:after="0" w:line="200" w:lineRule="exact"/>
                                    <w:jc w:val="left"/>
                                    <w:rPr>
                                      <w:spacing w:val="-20"/>
                                    </w:rPr>
                                  </w:pPr>
                                  <w:r>
                                    <w:rPr>
                                      <w:rFonts w:ascii="Arial" w:hAnsi="Arial" w:cs="Arial"/>
                                      <w:b w:val="false"/>
                                      <w:i w:val="false"/>
                                      <w:strike w:val="false"/>
                                      <w:color w:val="000000"/>
                                      <w:spacing w:val="-10"/>
                                      <w:sz w:val="20"/>
                                      <w:u w:val="none"/>
                                    </w:rPr>
                                    <w:t xml:space="preserve">[3R-(3α,3aβ,6β,7β,8aα)]-octahydro-6-methoxy-3,6,8,8-tetramethyl-1H-3a,7-methanoazulene</w:t>
                                  </w:r>
                                </w:p>
                                <w:p>
                                  <w:pPr>
                                    <w:spacing w:before="0" w:after="0" w:line="200" w:lineRule="exact"/>
                                    <w:jc w:val="left"/>
                                  </w:pPr>
                                  <w:r>
                                    <w:rPr>
                                      <w:rFonts w:ascii="Arial" w:hAnsi="Arial" w:cs="Arial"/>
                                      <w:b w:val="false"/>
                                      <w:i w:val="false"/>
                                      <w:strike w:val="false"/>
                                      <w:color w:val="000000"/>
                                      <w:spacing w:val="0"/>
                                      <w:sz w:val="20"/>
                                      <w:u w:val="none"/>
                                    </w:rPr>
                                    <w:t xml:space="preserve">(19870-74-7) | Patchouli, ext. (84238-39-1) . Peut produire une réaction allergique.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2.3 - Autres dangers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103" w:hRule="atLeast"/>
                              </w:trPr>
                              <w:tc>
                                <w:tcPr>
                                  <w:tcW w:w="4532"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 PBT.</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mélange ne contient aucune substance présentant un danger pour la santé ou l'environnement au sens du règlement (CE) n° 1272/2008, soumise à une limite d'exposition communautaire sur le lieu de travail, classée PBT/vPvB ou incluse dans la liste des substances candidates.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882" w:hRule="atLeast"/>
                              </w:trPr>
                              <w:tc>
                                <w:tcPr>
                                  <w:tcW w:w="4532"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matière vPvB.</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 mélange contient &gt;= 0,1 % de substances répondant aux critères vPvB conformément au règlement (CE) n° 1907/2006, annexe XIII. Voir la SECTION 3 de cette fiche de données de sécurité.</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4532"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Autres dangers n'entraînant pas la classification</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Conformément au règlement (UE) 1907/2006, aucune substance n'est évaluée comme PBT ou vPvB.</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3: Composition / informations sur les composants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3.1 - Substances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Non applicable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3.2 - Mélanges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70"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Nom chimique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Classe(s)</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Concentrations spécifiques</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1,4-dioxacyclohexadecane-5, 16-dione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54982-83-1</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259-423-6</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0,98</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Acute 1 - H400</w:t>
                                  </w:r>
                                </w:p>
                                <w:p>
                                  <w:pPr>
                                    <w:spacing w:before="0" w:after="0" w:line="160" w:lineRule="exact"/>
                                    <w:jc w:val="left"/>
                                  </w:pPr>
                                  <w:r>
                                    <w:rPr>
                                      <w:rFonts w:ascii="Arial" w:hAnsi="Arial" w:cs="Arial"/>
                                      <w:b w:val="false"/>
                                      <w:i w:val="false"/>
                                      <w:strike w:val="false"/>
                                      <w:color w:val="000000"/>
                                      <w:spacing w:val="0"/>
                                      <w:sz w:val="16"/>
                                      <w:u w:val="none"/>
                                    </w:rPr>
                                    <w:t xml:space="preserve">Aquatic Chronic 3 - H412</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Facteur M: 1</w:t>
                                  </w:r>
                                </w:p>
                              </w:tc>
                            </w:tr>
                            <w:tr>
                              <w:trPr>
                                <w:trHeight w:val="106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(R)-p-mentha-1,8-diène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5989-27-5</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 601-096-00-2</w:t>
                                  </w:r>
                                </w:p>
                                <w:p>
                                  <w:pPr>
                                    <w:spacing w:before="0" w:after="0" w:line="160" w:lineRule="exact"/>
                                    <w:jc w:val="left"/>
                                  </w:pPr>
                                  <w:r>
                                    <w:rPr>
                                      <w:rFonts w:ascii="Arial" w:hAnsi="Arial" w:cs="Arial"/>
                                      <w:b w:val="false"/>
                                      <w:i w:val="false"/>
                                      <w:strike w:val="false"/>
                                      <w:color w:val="000000"/>
                                      <w:spacing w:val="0"/>
                                      <w:sz w:val="16"/>
                                      <w:u w:val="none"/>
                                    </w:rPr>
                                    <w:t xml:space="preserve">N°CE : 227-813-5</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0,56629</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Acute 1 - H400</w:t>
                                  </w:r>
                                </w:p>
                                <w:p>
                                  <w:pPr>
                                    <w:spacing w:before="0" w:after="0" w:line="160" w:lineRule="exact"/>
                                    <w:jc w:val="left"/>
                                  </w:pPr>
                                  <w:r>
                                    <w:rPr>
                                      <w:rFonts w:ascii="Arial" w:hAnsi="Arial" w:cs="Arial"/>
                                      <w:b w:val="false"/>
                                      <w:i w:val="false"/>
                                      <w:strike w:val="false"/>
                                      <w:color w:val="000000"/>
                                      <w:spacing w:val="0"/>
                                      <w:sz w:val="16"/>
                                      <w:u w:val="none"/>
                                    </w:rPr>
                                    <w:t xml:space="preserve">Aquatic Chronic 3 - H412</w:t>
                                  </w:r>
                                </w:p>
                                <w:p>
                                  <w:pPr>
                                    <w:spacing w:before="0" w:after="0" w:line="160" w:lineRule="exact"/>
                                    <w:jc w:val="left"/>
                                  </w:pPr>
                                  <w:r>
                                    <w:rPr>
                                      <w:rFonts w:ascii="Arial" w:hAnsi="Arial" w:cs="Arial"/>
                                      <w:b w:val="false"/>
                                      <w:i w:val="false"/>
                                      <w:strike w:val="false"/>
                                      <w:color w:val="000000"/>
                                      <w:spacing w:val="0"/>
                                      <w:sz w:val="16"/>
                                      <w:u w:val="none"/>
                                    </w:rPr>
                                    <w:t xml:space="preserve">Asp. Tox. 1 - H304</w:t>
                                  </w:r>
                                </w:p>
                                <w:p>
                                  <w:pPr>
                                    <w:spacing w:before="0" w:after="0" w:line="160" w:lineRule="exact"/>
                                    <w:jc w:val="left"/>
                                  </w:pPr>
                                  <w:r>
                                    <w:rPr>
                                      <w:rFonts w:ascii="Arial" w:hAnsi="Arial" w:cs="Arial"/>
                                      <w:b w:val="false"/>
                                      <w:i w:val="false"/>
                                      <w:strike w:val="false"/>
                                      <w:color w:val="000000"/>
                                      <w:spacing w:val="0"/>
                                      <w:sz w:val="16"/>
                                      <w:u w:val="none"/>
                                    </w:rPr>
                                    <w:t xml:space="preserve">Flam. Liq. 3 - H226</w:t>
                                  </w:r>
                                </w:p>
                                <w:p>
                                  <w:pPr>
                                    <w:spacing w:before="0" w:after="0" w:line="160" w:lineRule="exact"/>
                                    <w:jc w:val="left"/>
                                  </w:pPr>
                                  <w:r>
                                    <w:rPr>
                                      <w:rFonts w:ascii="Arial" w:hAnsi="Arial" w:cs="Arial"/>
                                      <w:b w:val="false"/>
                                      <w:i w:val="false"/>
                                      <w:strike w:val="false"/>
                                      <w:color w:val="000000"/>
                                      <w:spacing w:val="0"/>
                                      <w:sz w:val="16"/>
                                      <w:u w:val="none"/>
                                    </w:rPr>
                                    <w:t xml:space="preserve">Skin Irrit. 2 - H315</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Facteur M: 1</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benzoate de benzyle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120-51-4</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 607-085-00-9</w:t>
                                  </w:r>
                                </w:p>
                                <w:p>
                                  <w:pPr>
                                    <w:spacing w:before="0" w:after="0" w:line="160" w:lineRule="exact"/>
                                    <w:jc w:val="left"/>
                                  </w:pPr>
                                  <w:r>
                                    <w:rPr>
                                      <w:rFonts w:ascii="Arial" w:hAnsi="Arial" w:cs="Arial"/>
                                      <w:b w:val="false"/>
                                      <w:i w:val="false"/>
                                      <w:strike w:val="false"/>
                                      <w:color w:val="000000"/>
                                      <w:spacing w:val="0"/>
                                      <w:sz w:val="16"/>
                                      <w:u w:val="none"/>
                                    </w:rPr>
                                    <w:t xml:space="preserve">N°CE : 204-402-9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0,3249</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Acute Tox. 4 Oral - H302</w:t>
                                  </w:r>
                                </w:p>
                                <w:p>
                                  <w:pPr>
                                    <w:spacing w:before="0" w:after="0" w:line="160" w:lineRule="exact"/>
                                    <w:jc w:val="left"/>
                                  </w:pPr>
                                  <w:r>
                                    <w:rPr>
                                      <w:rFonts w:ascii="Arial" w:hAnsi="Arial" w:cs="Arial"/>
                                      <w:b w:val="false"/>
                                      <w:i w:val="false"/>
                                      <w:strike w:val="false"/>
                                      <w:color w:val="000000"/>
                                      <w:spacing w:val="0"/>
                                      <w:sz w:val="16"/>
                                      <w:u w:val="none"/>
                                    </w:rPr>
                                    <w:t xml:space="preserve">Aquatic Acute 1 - H400</w:t>
                                  </w:r>
                                </w:p>
                                <w:p>
                                  <w:pPr>
                                    <w:spacing w:before="0" w:after="0" w:line="160" w:lineRule="exact"/>
                                    <w:jc w:val="left"/>
                                  </w:pPr>
                                  <w:r>
                                    <w:rPr>
                                      <w:rFonts w:ascii="Arial" w:hAnsi="Arial" w:cs="Arial"/>
                                      <w:b w:val="false"/>
                                      <w:i w:val="false"/>
                                      <w:strike w:val="false"/>
                                      <w:color w:val="000000"/>
                                      <w:spacing w:val="0"/>
                                      <w:sz w:val="16"/>
                                      <w:u w:val="none"/>
                                    </w:rPr>
                                    <w:t xml:space="preserve">Aquatic Chronic 2 - H411</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[3R-(3α,3aβ,6β,7β,8aα)]-octa hydro-6-methoxy-3,6,8,8-tetra methyl-1H-3a,7-methanoazul ene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19870-74-7</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243-384-7</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0,24</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Acute 1 - H400</w:t>
                                  </w:r>
                                </w:p>
                                <w:p>
                                  <w:pPr>
                                    <w:spacing w:before="0" w:after="0" w:line="160" w:lineRule="exact"/>
                                    <w:jc w:val="left"/>
                                  </w:pPr>
                                  <w:r>
                                    <w:rPr>
                                      <w:rFonts w:ascii="Arial" w:hAnsi="Arial" w:cs="Arial"/>
                                      <w:b w:val="false"/>
                                      <w:i w:val="false"/>
                                      <w:strike w:val="false"/>
                                      <w:color w:val="000000"/>
                                      <w:spacing w:val="0"/>
                                      <w:sz w:val="16"/>
                                      <w:u w:val="none"/>
                                    </w:rPr>
                                    <w:t xml:space="preserve">Aquatic Chronic 1 - H410</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Patchouli, ext.</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84238-39-1</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282-493-4</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0,22</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Chronic 2 - H411</w:t>
                                  </w:r>
                                </w:p>
                                <w:p>
                                  <w:pPr>
                                    <w:spacing w:before="0" w:after="0" w:line="160" w:lineRule="exact"/>
                                    <w:jc w:val="left"/>
                                  </w:pPr>
                                  <w:r>
                                    <w:rPr>
                                      <w:rFonts w:ascii="Arial" w:hAnsi="Arial" w:cs="Arial"/>
                                      <w:b w:val="false"/>
                                      <w:i w:val="false"/>
                                      <w:strike w:val="false"/>
                                      <w:color w:val="000000"/>
                                      <w:spacing w:val="0"/>
                                      <w:sz w:val="16"/>
                                      <w:u w:val="none"/>
                                    </w:rPr>
                                    <w:t xml:space="preserve">Asp. Tox. 1 - H304</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1-(1,2,3,4,5,6,7,8-octahydro-2 ,3,8,8-tetramethyl-2-naphthyl) ethan-1-one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54464-57-2</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259-174-3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0,178</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Chronic 2 - H411</w:t>
                                  </w:r>
                                </w:p>
                                <w:p>
                                  <w:pPr>
                                    <w:spacing w:before="0" w:after="0" w:line="160" w:lineRule="exact"/>
                                    <w:jc w:val="left"/>
                                  </w:pPr>
                                  <w:r>
                                    <w:rPr>
                                      <w:rFonts w:ascii="Arial" w:hAnsi="Arial" w:cs="Arial"/>
                                      <w:b w:val="false"/>
                                      <w:i w:val="false"/>
                                      <w:strike w:val="false"/>
                                      <w:color w:val="000000"/>
                                      <w:spacing w:val="0"/>
                                      <w:sz w:val="16"/>
                                      <w:u w:val="none"/>
                                    </w:rPr>
                                    <w:t xml:space="preserve">Skin Irrit. 2 - H315</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Acetyl cedrene</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32388-55-9</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251-020-3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0,176</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Acute 1 - H400</w:t>
                                  </w:r>
                                </w:p>
                                <w:p>
                                  <w:pPr>
                                    <w:spacing w:before="0" w:after="0" w:line="160" w:lineRule="exact"/>
                                    <w:jc w:val="left"/>
                                  </w:pPr>
                                  <w:r>
                                    <w:rPr>
                                      <w:rFonts w:ascii="Arial" w:hAnsi="Arial" w:cs="Arial"/>
                                      <w:b w:val="false"/>
                                      <w:i w:val="false"/>
                                      <w:strike w:val="false"/>
                                      <w:color w:val="000000"/>
                                      <w:spacing w:val="0"/>
                                      <w:sz w:val="16"/>
                                      <w:u w:val="none"/>
                                    </w:rPr>
                                    <w:t xml:space="preserve">Aquatic Chronic 1 - H410</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88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cinnamaldéhyde; 3-phénylprop- 2-énal; aldéhyde cinnamique; cinnamal;</w:t>
                                  </w:r>
                                </w:p>
                              </w:tc>
                              <w:tc>
                                <w:tcPr>
                                  <w:tcW w:w="2264" w:type="dxa"/>
                                  <w:gridSpan w:val="2"/>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104-55-2</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 606-155-00-6</w:t>
                                  </w:r>
                                </w:p>
                                <w:p>
                                  <w:pPr>
                                    <w:spacing w:before="0" w:after="0" w:line="160" w:lineRule="exact"/>
                                    <w:jc w:val="left"/>
                                  </w:pPr>
                                  <w:r>
                                    <w:rPr>
                                      <w:rFonts w:ascii="Arial" w:hAnsi="Arial" w:cs="Arial"/>
                                      <w:b w:val="false"/>
                                      <w:i w:val="false"/>
                                      <w:strike w:val="false"/>
                                      <w:color w:val="000000"/>
                                      <w:spacing w:val="0"/>
                                      <w:sz w:val="16"/>
                                      <w:u w:val="none"/>
                                    </w:rPr>
                                    <w:t xml:space="preserve">N°CE : 203-213-9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0,00342</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Acute Tox. 4 Dermal - H312</w:t>
                                  </w:r>
                                </w:p>
                                <w:p>
                                  <w:pPr>
                                    <w:spacing w:before="0" w:after="0" w:line="160" w:lineRule="exact"/>
                                    <w:jc w:val="left"/>
                                  </w:pPr>
                                  <w:r>
                                    <w:rPr>
                                      <w:rFonts w:ascii="Arial" w:hAnsi="Arial" w:cs="Arial"/>
                                      <w:b w:val="false"/>
                                      <w:i w:val="false"/>
                                      <w:strike w:val="false"/>
                                      <w:color w:val="000000"/>
                                      <w:spacing w:val="0"/>
                                      <w:sz w:val="16"/>
                                      <w:u w:val="none"/>
                                    </w:rPr>
                                    <w:t xml:space="preserve">Aquatic Chronic 3 - H412</w:t>
                                  </w:r>
                                </w:p>
                                <w:p>
                                  <w:pPr>
                                    <w:spacing w:before="0" w:after="0" w:line="160" w:lineRule="exact"/>
                                    <w:jc w:val="left"/>
                                  </w:pPr>
                                  <w:r>
                                    <w:rPr>
                                      <w:rFonts w:ascii="Arial" w:hAnsi="Arial" w:cs="Arial"/>
                                      <w:b w:val="false"/>
                                      <w:i w:val="false"/>
                                      <w:strike w:val="false"/>
                                      <w:color w:val="000000"/>
                                      <w:spacing w:val="0"/>
                                      <w:sz w:val="16"/>
                                      <w:u w:val="none"/>
                                    </w:rPr>
                                    <w:t xml:space="preserve">Eye Irrit. 2 - H319</w:t>
                                  </w:r>
                                </w:p>
                                <w:p>
                                  <w:pPr>
                                    <w:spacing w:before="0" w:after="0" w:line="160" w:lineRule="exact"/>
                                    <w:jc w:val="left"/>
                                  </w:pPr>
                                  <w:r>
                                    <w:rPr>
                                      <w:rFonts w:ascii="Arial" w:hAnsi="Arial" w:cs="Arial"/>
                                      <w:b w:val="false"/>
                                      <w:i w:val="false"/>
                                      <w:strike w:val="false"/>
                                      <w:color w:val="000000"/>
                                      <w:spacing w:val="0"/>
                                      <w:sz w:val="16"/>
                                      <w:u w:val="none"/>
                                    </w:rPr>
                                    <w:t xml:space="preserve">Skin Irrit. 2 - H315</w:t>
                                  </w:r>
                                </w:p>
                                <w:p>
                                  <w:pPr>
                                    <w:spacing w:before="0" w:after="0" w:line="160" w:lineRule="exact"/>
                                    <w:jc w:val="left"/>
                                  </w:pPr>
                                  <w:r>
                                    <w:rPr>
                                      <w:rFonts w:ascii="Arial" w:hAnsi="Arial" w:cs="Arial"/>
                                      <w:b w:val="false"/>
                                      <w:i w:val="false"/>
                                      <w:strike w:val="false"/>
                                      <w:color w:val="000000"/>
                                      <w:spacing w:val="0"/>
                                      <w:sz w:val="16"/>
                                      <w:u w:val="none"/>
                                    </w:rPr>
                                    <w:t xml:space="preserve">Skin Sens. 1A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Skin Sens. 1 - H317 : 0,01&lt;=%&lt;100</w:t>
                                  </w:r>
                                </w:p>
                              </w:tc>
                            </w:tr>
                          </w:tbl>
                          <w:tbl>
                            <w:tblPr>
                              <w:tblLayout w:type="fixed"/>
                              <w:tblInd w:w="0" w:type="dxa"/>
                              <w:tblCellMar>
                                <w:left w:w="0" w:type="dxa"/>
                                <w:right w:w="0" w:type="dxa"/>
                              </w:tblCellMar>
                            </w:tblPr>
                            <w:tblGrid>
                              <w:gridCol w:w="2836"/>
                              <w:gridCol w:w="7314"/>
                            </w:tblGrid>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4: Premiers secours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4.1 - Description des mesures de premiers secours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En cas d'inhalation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Transporter la personne affectée en position allongée, en cas d'essoufflement en position semi-assise.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Après contact avec la peau</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Après contact avec la peau, laver immédiatement et abondamment avec de l'eau et du savon.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Changer les vêtements contaminés et saturés.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réactions cutanées, consulter un médecin.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Consulter impérativement un médecin.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Enlever immédiatement les vêtement souillés, imprégnés.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Après contact avec les yeux</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Après contact avec les yeux, rincer à l'eau les paupières ouvertes suffisamment longtemps, puis consulter immédiatement un ophtalmologiste.</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contact avec les yeux, paupière ouverte rincer immédiatement à l'eau courante 10 à 15 minutes et consulter un ophtalmologiste.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d'irritation oculaire, consulter un ophtalmologue.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Rincer soigneusement et abondamment avec une douche oculaire ou de l'eau.</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En cas d'ingestion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doute ou si des symptômes sont observés, consulter un médecin.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 PAS faire vomir.</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Rincer la bouche abondamment à l'eau.</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4.2 - Principaux symptômes et effets, aigus et différés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Symptômes et effets - En cas  d'inhalation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principaux symptômes et effets connus sont décrits sur l'étiquette (voir section 2.2) et/ou à l'article 11</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4.3 - Indication des éventuels soins médicaux immédiats et traitements particuliers nécessaires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5: Mesures de lutte contre l'incendie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5.1 - Moyens d'extinction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Moyens d'extinction  appropriés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ABC-poudre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Dioxyde de carbone (CO2)</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Sable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Mousse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Moyens d'extinction  inappropriés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Jet d'eau puissant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5.2 - Dangers particuliers résultant de la substance ou du mélange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Dangers particuliers résultant  de la substance ou du  mélange</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 formation de gaz toxiques est possible pendant le chauffage ou en cas d'incendie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Produits de décomposition  dangereux</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5.3 - Conseils aux pompiers</w:t>
                                  </w:r>
                                </w:p>
                              </w:tc>
                            </w:tr>
                          </w:tbl>
                          <w:tbl>
                            <w:tblPr>
                              <w:tblLayout w:type="fixed"/>
                              <w:tblInd w:w="0" w:type="dxa"/>
                              <w:tblCellMar>
                                <w:left w:w="0" w:type="dxa"/>
                                <w:right w:w="0" w:type="dxa"/>
                              </w:tblCellMar>
                            </w:tblPr>
                            <w:tblGrid>
                              <w:gridCol w:w="2836"/>
                              <w:gridCol w:w="7314"/>
                            </w:tblGrid>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Collecter séparément les eaux d'extinction contaminées. Elles ne doivent pas être déversées dans les égouts.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Coordonner les mesures de lutte contre l'incendie en fonction de l'environnement.</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Coordonner les mesures de lutte contre l'incendie en fonction de l'environnement.</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Déplacer les récipients non endommagés hors de la zone de danger immédiat si cela peut être fait en toute sécurité.</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 pas inhaler les gaz d'explosion et de combustion.</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Soyez prudent lorsque vous appliquez du dioxyde de carbone dans des espaces confinés. Le dioxyde de carbone peut déplacer l'oxygène.</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 jet d'eau pour protéger le personnel et refroidir les récipients en danger.</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6: Mesures à prendre en cas de dispersion accidentelle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6.1 - Précautions individuelles, équipement de protection et procédures d’urgence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Pour les non-secouristes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Assurer une aération suffisante.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Evacuer les personnes en lieu sûr.</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 équipement de protection personnel.</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une protection respiratoire adéquate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Pour les secouristes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Mettre les personnes en lieu sûr.</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 équipement de protection individuelle.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Portez des gants de protection.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6.2 - Précautions pour la protection de l’environnement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Empêcher la pénétration dans le sol, les fossés, les égouts, les cours d'eau et les eaux souterraines.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Empêcher la propagation sur une large zone (par exemple, par un confinement ou des barrières pétrolières).</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Empêcher toute pénétration dans les égouts et les eaux publiques. Prévenir les autorités si le liquide pénètre dans les égouts ou les eaux publiques.</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fuite de gaz ou de pénétration dans les cours d'eau, le sol ou les égouts, informer les autorités responsables.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 pas laisser pénétrer dans le sol/sous-sol.</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S'assurer que les déversements peuvent être contenus, par exemple dans des palettes de rétention ou des zones à bordures.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Veiller à ce que toutes les eaux usées soient collectées et traitées par une station d'épuration.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6.3 - Méthodes et matériel de confinement et de nettoyage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Méthodes et matériel de  confinement</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Méthodes et matériel de  nettoyage</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Absorber avec un matériau liant les liquides ( p. ex. sable, terre de diatomées, liants acides ou universels).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Ventiler la zone affectée.</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Absorber avec un matériau liant les liquides (par ex. sable, terre de diatomées, liants acides ou universels).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Essuyer avec un matériau absorbant (p. ex. tissu, molleton).</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Nettoyer soigneusement les objets et les zones contaminés en respectant les réglementations environnementales.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Pomper/recueillir le produit libéré dans des récipients appropriés.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Ramasser mécaniquement et placer dans des conteneurs appropriés en vue de l'élimination.</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Traiter les matériaux récupérés comme indiqué dans la section relative à l'élimination des déchets.</w:t>
                                  </w:r>
                                </w:p>
                              </w:tc>
                            </w:tr>
                          </w:tbl>
                          <w:tbl>
                            <w:tblPr>
                              <w:tblLayout w:type="fixed"/>
                              <w:tblInd w:w="0" w:type="dxa"/>
                              <w:tblCellMar>
                                <w:left w:w="0" w:type="dxa"/>
                                <w:right w:w="0" w:type="dxa"/>
                              </w:tblCellMar>
                            </w:tblPr>
                            <w:tblGrid>
                              <w:gridCol w:w="2836"/>
                              <w:gridCol w:w="7314"/>
                            </w:tblGrid>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Techniques inappropriées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6.4 - Référence à d'autres rubriques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Élimination : voir section 13</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Equipement de protection individuelle : voir rubrique 8</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Manipulation sûre : voir section 7</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7: Manipulation et stockage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7.1 - Précautions à prendre pour une manipulation sans danger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Recommandation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Éviter de:Contact avec la peau</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Porter des vêtements de protection individuelle (voir section 8).</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Manipuler la substance uniquement dans des installations ou systèmes fermés.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s'assurer d'une ventilation suffisante et d'une aspiration ponctuelle au niveau des points critiques.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seulement dans des zones bien ventilées.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Aspirer les vapeurs/aérosols directement à l'endroit où ils se forment.</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Concevoir en règle générale tous les procédés de travail de manière à exclure les risques suivants:Inhalation des vapeurs ou brouillards/aérosols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Des vapeurs inflammables peuvent s'accumuler dans l'espace libre des systèmes fermés.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Éviter de respirer les vapeurs, le brouillard, les pulvérisations et les fumées.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vapeurs peuvent former avec l'air un mélange explosif.</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vapeurs/aérosols doivent être évacués directement au point d'origine.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Notice explicative sur l'hygiène industrielle générale</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Se laver les mains avant les pauses et après le travail.</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Changer immédiatement tout vêtement, chaussures ou chaussettes souillés.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Laver les vêtements souillés avant de les réutiliser.</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vêtements de travail utilisés ne doivent pas être portés en-dehors de la zone de travail.</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Travailler dans des zones bien ventilées ou avec un masque respiratoire à filtre.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7.2 - Conditions d’un stockage sûr, y compris les éventuelles incompatibilités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Conserver/stocker uniquement dans le récipient d'origine.</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Maintenir le recipient vertical afin d'eviter les fuites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7.3 - Utilisation(s) finale(s) particulière(s)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Respecter la fiche technique.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8: Contrôles de l’exposition/protection individuelle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8.1 - Paramètres de contrôle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8.2 - Contrôles de l'exposition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Contrôles techniques  appropriés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Assurer une ventilation adéquate.</w:t>
                                  </w:r>
                                </w:p>
                              </w:tc>
                            </w:tr>
                          </w:tbl>
                          <w:tbl>
                            <w:tblPr>
                              <w:tblLayout w:type="fixed"/>
                              <w:tblInd w:w="0" w:type="dxa"/>
                              <w:tblCellMar>
                                <w:left w:w="0" w:type="dxa"/>
                                <w:right w:w="0" w:type="dxa"/>
                              </w:tblCellMar>
                            </w:tblPr>
                            <w:tblGrid>
                              <w:gridCol w:w="2836"/>
                              <w:gridCol w:w="5386"/>
                              <w:gridCol w:w="1928"/>
                            </w:tblGrid>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mesures techniques et l'utilisation de méthodes de travail adéquates sont prioritaires sur les équipements de protections individuelles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882"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Mesures de protection  individuelle, telles que les  équipements de protection  individuelle</w:t>
                                  </w: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NBR (caoutchouc nitrile).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Appareil de protection respiratoire approprié:Appareil avec filtre à particules (EN 143)</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9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0">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1134"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Gants de protection</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9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1">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882"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 qualité des gants de protection résistants aux produits chimiques doit être choisie en fonction de la concentration et de la quantité de substances dangereuses sur le lieu de travail.</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662"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Lors de la manipulation de substances chimiques, il convient de porter des gants de protection portant le label CE avec les quatre chiffres de contrôle.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Lors de la manipulation de substances chimiques, porter exclusivement des gants spécial chimie pourvus d'un marquage CE, y compris du numéro de contrôle à quatre chiffres.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9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2">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1134"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Porter les gants de protection homologués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9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3">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882"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Pour des usages particuliers, il est recommandé de vérifier la résistance aux produits chimiques des gants de protection mentionnés ci-dessus avec le fournisseur de ces gants.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Protection du corps appropriée:blouse de laboratoire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9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4">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662"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Si les mesures techniques d'aspiration ou de ventilation ne sont pas possibles ou insuffisantes, il faut porter une protection respiratoire.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221"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Respecter les délais d'usure spécifiés par le fabricant.</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03"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 classe de filtre doit être adaptée à la concentration maximale de contaminants (gaz/vapeur/aérosol/particules) susceptible d'apparaître lors de la manipulation du produit. Si la concentration est dépassée, un appareil respiratoire autonome doit être utilisé.</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662"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N'utiliser que des appareils de protection respiratoire portant le symbole CE et un numéro de test à quatre chiffres.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bl>
                          <w:tbl>
                            <w:tblPr>
                              <w:tblLayout w:type="fixed"/>
                              <w:tblInd w:w="0" w:type="dxa"/>
                              <w:tblCellMar>
                                <w:left w:w="0" w:type="dxa"/>
                                <w:right w:w="0" w:type="dxa"/>
                              </w:tblCellMar>
                            </w:tblPr>
                            <w:tblGrid>
                              <w:gridCol w:w="2552"/>
                              <w:gridCol w:w="284"/>
                              <w:gridCol w:w="2268"/>
                              <w:gridCol w:w="2552"/>
                              <w:gridCol w:w="2494"/>
                            </w:tblGrid>
                            <w:tr>
                              <w:trPr>
                                <w:trHeight w:val="44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Contrôles d'exposition liés à la protection de l'environnement</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5"/>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9: Propriétés physiques et chimiques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9.1 - Informations sur les propriétés physiques et chimiques essentielles</w:t>
                                  </w:r>
                                </w:p>
                              </w:tc>
                            </w:tr>
                            <w:tr>
                              <w:trPr>
                                <w:trHeight w:val="170"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État</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Solide</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Aspect</w:t>
                                  </w:r>
                                </w:p>
                              </w:tc>
                              <w:tc>
                                <w:tcPr>
                                  <w:tcW w:w="249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Solide</w:t>
                                  </w:r>
                                </w:p>
                              </w:tc>
                            </w:tr>
                            <w:tr>
                              <w:trPr>
                                <w:trHeight w:val="221"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Couleur</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ivoire</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Odeur</w:t>
                                  </w:r>
                                </w:p>
                              </w:tc>
                              <w:tc>
                                <w:tcPr>
                                  <w:tcW w:w="249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caractéristique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Seuil olfactif</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pH</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de fusion</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de congélation</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d'ébullition</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éclair</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&lt; 100 °C</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Taux d'évaporation</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inflammabilité</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Limite inférieure d’explosivité</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Limite supérieure d'explosivité</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Pression de la vapeur</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Densité de la vapeur</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Densité relative</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Densité</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(Eau)</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(Ethanol)</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(Acétone)</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(Solvants organiques)</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Log KOW</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Température d’auto-inflammabilité</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Température de décomposition</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Viscosité, cinématique</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Viscosité, dynamique</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Caractéristiques des particules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Taille des particules</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Empoussièrement</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Aire de surface spécifique</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Forme</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9.2 - Autres informations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Teneur en COV</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Energie minimale d'ignition</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Conductivité</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Indice de réfraction</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Teneur en corps solides</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Tension de surface</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Concentration de saturation</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bl>
                          <w:tbl>
                            <w:tblPr>
                              <w:tblLayout w:type="fixed"/>
                              <w:tblInd w:w="0" w:type="dxa"/>
                              <w:tblCellMar>
                                <w:left w:w="0" w:type="dxa"/>
                                <w:right w:w="0" w:type="dxa"/>
                              </w:tblCellMar>
                            </w:tblPr>
                            <w:tblGrid>
                              <w:gridCol w:w="2836"/>
                              <w:gridCol w:w="4536"/>
                              <w:gridCol w:w="2778"/>
                            </w:tblGrid>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10: Stabilité et réactivité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10.1 - Réactivité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matériau est considéré comme non réactif dans des conditions normales d'utilisation.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10.2 - Stabilité chimique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 produit est chimiquement stable dans les conditions recommandées de stockage, d'utilisation et de température.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10.3 - Possibilité de réactions dangereuses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réaction dangereuse lors de la manipulation et du stockage conformément aux dispositions.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10.4 - Conditions à éviter</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Stable dans les conditions de stockage et de manipulation recommandées.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10.5 - Matières incompatibles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10.6 - Produits de décomposition dangereux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11: Informations toxicologiques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11.1 - Informations sur les classes de danger telles que définies dans le règlement (CE) no 1272/2008</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aiguë</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DL50 Orale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DL50 Cutanée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DL50 Cutanée (lapin)</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Inhalation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Inhalation poussières brouillard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Inhalation vapeurs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Corrosion cutanée/irritation  cutanée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Lésions oculaires  graves/irritation oculaire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Provoque une grave irritation des yeux.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Sensibilisation respiratoire ou  cutanée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Peut provoquer une réaction allergique cutanée.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Mutagénicité sur les cellules  germinales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bl>
                          <w:tbl>
                            <w:tblPr>
                              <w:tblLayout w:type="fixed"/>
                              <w:tblInd w:w="0" w:type="dxa"/>
                              <w:tblCellMar>
                                <w:left w:w="0" w:type="dxa"/>
                                <w:right w:w="0" w:type="dxa"/>
                              </w:tblCellMar>
                            </w:tblPr>
                            <w:tblGrid>
                              <w:gridCol w:w="2836"/>
                              <w:gridCol w:w="2268"/>
                              <w:gridCol w:w="5046"/>
                            </w:tblGrid>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Cancérogénicité</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pour la reproduction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spécifique pour  certains organes cibles —  exposition unique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spécifique pour  certains organes cibles –  exposition répétée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Danger par aspiration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11.2 - Informations sur les autres dangers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Selon le règlement (UE) 2017/2100 ou le règlement (UE) 2018/605, aucune substance n'est connue pour avoir des perturbations endocriniennes</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12: Informations écologiques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12.1 - Toxicité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CE50 48h crustacés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96h poissons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CEr50 algues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CEr50 autres plantes aquatiques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poissons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crustacés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algues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autres plantes aquatiques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Toxique pour la vie aquatique avec des effets à long terme.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12.2 - Persistance et dégradabilité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Demande biochimique en oxygène (DBO)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Demande chimique en oxygène (DCO)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de biodégradation en 28 jours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12.3 - Potentiel de bioaccumulation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Facteur de bioconcentration (FBC)</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Log KOW</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bl>
                          <w:tbl>
                            <w:tblPr>
                              <w:tblLayout w:type="fixed"/>
                              <w:tblInd w:w="0" w:type="dxa"/>
                              <w:tblCellMar>
                                <w:left w:w="0" w:type="dxa"/>
                                <w:right w:w="0" w:type="dxa"/>
                              </w:tblCellMar>
                            </w:tblPr>
                            <w:tblGrid>
                              <w:gridCol w:w="2836"/>
                              <w:gridCol w:w="568"/>
                              <w:gridCol w:w="6748"/>
                            </w:tblGrid>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12.4 - Mobilité dans le sol</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12.5 - Résultats des évaluations PBT et vPvB</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mélange ne contient aucune substance présentant un danger pour la santé ou l'environnement au sens du règlement (CE) n° 1272/2008, soumise à une limite d'exposition communautaire sur le lieu de travail, classée PBT/vPvB ou incluse dans la liste des substances candidates.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 mélange contient &gt;= 0,1 % de substances répondant aux critères vPvB conformément au règlement (CE) n° 1907/2006, annexe XIII. Voir la SECTION 3 de cette fiche de données de sécurité.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12.6 - Propriétés perturbant le système endocrinien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produit n'a pas de propriétés perturbateurs endocriniens.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12.7 - Autres effets néfastes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13: Considérations relatives à l'élimination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13.1 - Méthodes de traitement des déchets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Méthodes de traitement des  déchets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Élimination conformément au Règlement 2008/98/CE en matière de déchets et déchets dangereux.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Evacuation des eaux</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Précautions particulières à  prendre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Élimination des déchets conformément à la directive 2008/98/CE relative aux déchets et aux déchets dangereux.</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emballages non contaminés doivent être recyclés ou éliminés.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Manipuler les emballages contaminés de la même manière que la substance elle-même.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 Communautaire  ou Nationale ou Régionale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Éliminer les déchets conformément à la législation en vigueur.</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14: Informations relatives au transport</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14.1 - Numéro ONU ou numéro d’identification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14.2 - Désignation officielle de transport de l'ONU</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14.3 - Classe(s) de danger pour le transport</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14.4 - Groupe d'emballage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14.5 - Dangers pour l’environnement</w:t>
                                  </w:r>
                                </w:p>
                              </w:tc>
                            </w:tr>
                            <w:tr>
                              <w:trPr>
                                <w:trHeight w:val="170"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Dangers pour l’environnement</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Polluant marin</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14.6 - Précautions particulières à prendre par l’utilisateur</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14.7 - Transport maritime en vrac conformément aux instruments de l’OMI</w:t>
                                  </w:r>
                                </w:p>
                              </w:tc>
                            </w:tr>
                          </w:tbl>
                          <w:tbl>
                            <w:tblPr>
                              <w:tblLayout w:type="fixed"/>
                              <w:tblInd w:w="0" w:type="dxa"/>
                              <w:tblCellMar>
                                <w:left w:w="0" w:type="dxa"/>
                                <w:right w:w="0" w:type="dxa"/>
                              </w:tblCellMar>
                            </w:tblPr>
                            <w:tblGrid>
                              <w:gridCol w:w="964"/>
                              <w:gridCol w:w="1248"/>
                              <w:gridCol w:w="624"/>
                              <w:gridCol w:w="568"/>
                              <w:gridCol w:w="1078"/>
                              <w:gridCol w:w="5670"/>
                            </w:tblGrid>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15: Informations relatives à la réglementation</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94"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15.1 - Réglementations/législation particulières à la substance ou au mélange en matière de sécurité, de santé et d’environnement</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Substances REACH  candidates</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Substances Annex XIV</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Substances Annex XVII</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Teneur en COV</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324"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communautaires  en matière de sécurité, de  santé et d’environnement, lois  nationales</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Cette FDS a été établie conformément au règlement REACH, y compris ses modifications: règlement REACH (CE) n °</w:t>
                                  </w:r>
                                </w:p>
                                <w:p>
                                  <w:pPr>
                                    <w:spacing w:before="0" w:after="0" w:line="200" w:lineRule="exact"/>
                                    <w:jc w:val="left"/>
                                  </w:pPr>
                                  <w:r>
                                    <w:rPr>
                                      <w:rFonts w:ascii="Arial" w:hAnsi="Arial" w:cs="Arial"/>
                                      <w:b w:val="false"/>
                                      <w:i w:val="false"/>
                                      <w:strike w:val="false"/>
                                      <w:color w:val="000000"/>
                                      <w:spacing w:val="0"/>
                                      <w:sz w:val="20"/>
                                      <w:u w:val="none"/>
                                    </w:rPr>
                                    <w:t xml:space="preserve">1907/2006.</w:t>
                                  </w:r>
                                </w:p>
                                <w:p>
                                  <w:pPr>
                                    <w:spacing w:before="0" w:after="0" w:line="200" w:lineRule="exact"/>
                                    <w:jc w:val="left"/>
                                  </w:pPr>
                                  <w:r>
                                    <w:rPr>
                                      <w:rFonts w:ascii="Arial" w:hAnsi="Arial" w:cs="Arial"/>
                                      <w:b w:val="false"/>
                                      <w:i w:val="false"/>
                                      <w:strike w:val="false"/>
                                      <w:color w:val="000000"/>
                                      <w:spacing w:val="0"/>
                                      <w:sz w:val="20"/>
                                      <w:u w:val="none"/>
                                    </w:rPr>
                                    <w:t xml:space="preserve">Cette SDS a été établie conformément à la réglementation CLP, y compris ses modifications: règlement CLP n °</w:t>
                                  </w:r>
                                </w:p>
                                <w:p>
                                  <w:pPr>
                                    <w:spacing w:before="0" w:after="0" w:line="200" w:lineRule="exact"/>
                                    <w:jc w:val="left"/>
                                  </w:pPr>
                                  <w:r>
                                    <w:rPr>
                                      <w:rFonts w:ascii="Arial" w:hAnsi="Arial" w:cs="Arial"/>
                                      <w:b w:val="false"/>
                                      <w:i w:val="false"/>
                                      <w:strike w:val="false"/>
                                      <w:color w:val="000000"/>
                                      <w:spacing w:val="0"/>
                                      <w:sz w:val="20"/>
                                      <w:u w:val="none"/>
                                    </w:rPr>
                                    <w:t xml:space="preserve">1272/2008.</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15.2 - Évaluation de la sécurité chimique</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16: Autres informations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Versions de la FDS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31" w:hRule="atLeast"/>
                              </w:trPr>
                              <w:tc>
                                <w:tcPr>
                                  <w:tcW w:w="958" w:type="dxa"/>
                                  <w:tcBorders>
                                    <w:top w:val="single" w:color="666666" w:sz="4"/>
                                    <w:left w:val="single" w:color="666666" w:sz="4"/>
                                    <w:bottom w:val="single" w:color="666666" w:sz="4"/>
                                    <w:right w:val="single" w:color="666666" w:sz="4"/>
                                  </w:tcBorders>
                                  <w:shd w:val="clear" w:color="auto" w:fill="CCCCCC"/>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Version</w:t>
                                  </w:r>
                                </w:p>
                              </w:tc>
                              <w:tc>
                                <w:tcPr>
                                  <w:tcW w:w="1242" w:type="dxa"/>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Date d'émission</w:t>
                                  </w:r>
                                </w:p>
                              </w:tc>
                              <w:tc>
                                <w:tcPr>
                                  <w:tcW w:w="2264" w:type="dxa"/>
                                  <w:gridSpan w:val="3"/>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Auteur</w:t>
                                  </w:r>
                                </w:p>
                              </w:tc>
                              <w:tc>
                                <w:tcPr>
                                  <w:tcW w:w="5666" w:type="dxa"/>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Description des modifications</w:t>
                                  </w:r>
                                </w:p>
                              </w:tc>
                            </w:tr>
                            <w:tr>
                              <w:trPr>
                                <w:trHeight w:val="216" w:hRule="atLeast"/>
                              </w:trPr>
                              <w:tc>
                                <w:tcPr>
                                  <w:tcW w:w="958"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1</w:t>
                                  </w:r>
                                </w:p>
                              </w:tc>
                              <w:tc>
                                <w:tcPr>
                                  <w:tcW w:w="1242"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11/09/2026</w:t>
                                  </w:r>
                                </w:p>
                              </w:tc>
                              <w:tc>
                                <w:tcPr>
                                  <w:tcW w:w="2264" w:type="dxa"/>
                                  <w:gridSpan w:val="3"/>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5666"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Abréviations et acronymes</w:t>
                                  </w: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ADR : L'Accord relatif au transport international des marchandises dangereuses par route</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ATE : Estimation de la toxicité aiguë.</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CL50 : Concentration létale à 50 % d'un animal testé.</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CMEO : Concentration la plus faible avec effet observé.</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DL50 : Dose mortelle à 50 % d'un animal testé.</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DMEO : niveau d'effet indésirable observé le plus bas.</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DNEL : niveau dérivé sans effet.</w:t>
                                  </w:r>
                                </w:p>
                              </w:tc>
                            </w:tr>
                            <w:tr>
                              <w:trPr>
                                <w:trHeight w:val="44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EC50 : Concentration efficace de la substance provoquant des effets néfastes chez 50 % des animaux testés.</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IATA : Association du transport aérien international.</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IMDG : Marchandises dangereuses maritimes internationales.</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 CE : Numéro de la Communauté Européenne</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NOEC : Concentration sans effet observé.</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NOEL : Aucun niveau d’effet observable.</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Numéro CAS : Numéro du Chemical Abstracts Service.</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OACI : Organisation de l'aviation civile internationale</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PBT : Persistant, Bioaccumulable et Toxique.</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PNEC : concentration prévue sans effet.</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RID : Transport international ferroviaire de marchandises dangereuses.</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STEL : Limite d'exposition à court terme</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TWA : moyenne pondérée dans le temps</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VLEP : Limite d'exposition professionnelle.</w:t>
                                  </w:r>
                                </w:p>
                              </w:tc>
                            </w:tr>
                            <w:tr>
                              <w:trPr>
                                <w:trHeight w:val="221" w:hRule="atLeast"/>
                              </w:trPr>
                              <w:tc>
                                <w:tcPr>
                                  <w:tcW w:w="339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vPvB : très persistant et très bioaccumulable.</w:t>
                                  </w:r>
                                </w:p>
                              </w:tc>
                            </w:tr>
                          </w:tbl>
                          <w:tbl>
                            <w:tblPr>
                              <w:tblLayout w:type="fixed"/>
                              <w:tblInd w:w="0" w:type="dxa"/>
                              <w:tblCellMar>
                                <w:left w:w="0" w:type="dxa"/>
                                <w:right w:w="0" w:type="dxa"/>
                              </w:tblCellMar>
                            </w:tblPr>
                            <w:tblGrid>
                              <w:gridCol w:w="1702"/>
                              <w:gridCol w:w="8448"/>
                            </w:tblGrid>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Textes des phrases réglementaires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37"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Acute Tox. 4 Dermal</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Toxicité aiguë (dermique) - Catégorie 4</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Acute Tox. 4 Oral</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Toxicité aiguë (par voie orale) - Catégorie 4</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Acute 1</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Acute 1</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Chronic 1</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1</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Chronic 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2</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Chronic 3</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3</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Asp. Tox. 1</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par aspiration - Catégorie 1</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Eye Irrit. 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Irritation oculaire - Catégorie 2</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Flam. Liq. 3</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Liquide et vapeurs inflammables. - Catégorie 3</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H226</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Liquide et vapeurs inflammables.</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H302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Nocif en cas d'ingestion.</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H304</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Peut être mortel en cas d'ingestion et de pénétration dans les voies respiratoires.</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H315</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Provoque une irritation cutanée.</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H317</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Peut provoquer une allergie cutanée.</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H410</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Très toxique pour les organismes aquatiques, entraîne des effets néfastes à long terme.</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H411</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Toxique pour les organismes aquatiques, entraîne des effets néfastes à long terme.</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H412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Nocif pour les organismes aquatiques, entraîne des effets néfastes à long terme.</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Skin Irrit. 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Irritation cutanée - Catégorie 2</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Skin Sens. 1A</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Sensibilisation cutanée - Catégorie 1A</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Skin Sens. 1B</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Sensibilisation cutanée - Catégorie 1B</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88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Les informations fournies dans cette fiche de données de sécurité (FDS) sont à jour à la date à laquelle la FDS a été préparée ou révisée. La mise en œuvre des mesures fournies sur la FDS relève de la responsabilité des entreprises utilisatrices en aval. Les utilisateurs en aval peuvent modifier les mesures de la FDS en fonction des conditions de leur propre entreprise.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6"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center"/>
                                  </w:pPr>
                                  <w:r>
                                    <w:rPr>
                                      <w:rFonts w:ascii="Arial" w:hAnsi="Arial" w:cs="Arial"/>
                                      <w:b w:val="true"/>
                                      <w:i w:val="false"/>
                                      <w:strike w:val="false"/>
                                      <w:color w:val="000000"/>
                                      <w:spacing w:val="0"/>
                                      <w:sz w:val="24"/>
                                      <w:u w:val="none"/>
                                    </w:rPr>
                                    <w:t xml:space="preserve">*** *** ***</w:t>
                                  </w:r>
                                </w:p>
                              </w:tc>
                            </w:tr>
                          </w:tbl>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40" name="Rectangle 140"/>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41" name="Rectangle 141"/>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42" name="Rectangle 142"/>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43" name="Rectangle 143"/>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44" name="Rectangle 144"/>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4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5">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46" name="Rectangle 146"/>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47" name="Rectangle 147"/>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48" name="Rectangle 148"/>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49" name="Rectangle 149"/>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58436"/>
                <wp:effectExtent l="0" t="0" r="0" b="0"/>
                <wp:wrapNone/>
                <wp:docPr id="150" name="Rectangle 150"/>
                <wp:cNvGraphicFramePr/>
                <a:graphic xmlns:a="http://schemas.openxmlformats.org/drawingml/2006/main">
                  <a:graphicData uri="http://schemas.microsoft.com/office/word/2010/wordprocessingShape">
                    <wps:wsp>
                      <wps:cNvSpPr/>
                      <wps:spPr bwMode="auto">
                        <a:xfrm>
                          <a:off x="541800" y="1205640"/>
                          <a:ext cx="6508440" cy="8358436"/>
                        </a:xfrm>
                        <a:prstGeom prst="rect">
                          <a:avLst/>
                        </a:prstGeom>
                        <a:ln w="0" cap="sq" cmpd="sng">
                          <a:noFill/>
                          <a:miter lim="800000"/>
                        </a:ln>
                      </wps:spPr>
                      <wps:linkedTxbx id="1" seq="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51" name="Rectangle 151"/>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2/12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52" name="Rectangle 152"/>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53" name="Rectangle 153"/>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54" name="Rectangle 154"/>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55" name="Rectangle 155"/>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5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6">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57" name="Rectangle 157"/>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58" name="Rectangle 158"/>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59" name="Rectangle 159"/>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60" name="Rectangle 160"/>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267536"/>
                <wp:effectExtent l="0" t="0" r="0" b="0"/>
                <wp:wrapNone/>
                <wp:docPr id="161" name="Rectangle 161"/>
                <wp:cNvGraphicFramePr/>
                <a:graphic xmlns:a="http://schemas.openxmlformats.org/drawingml/2006/main">
                  <a:graphicData uri="http://schemas.microsoft.com/office/word/2010/wordprocessingShape">
                    <wps:wsp>
                      <wps:cNvSpPr/>
                      <wps:spPr bwMode="auto">
                        <a:xfrm>
                          <a:off x="541800" y="1205640"/>
                          <a:ext cx="6508440" cy="8267536"/>
                        </a:xfrm>
                        <a:prstGeom prst="rect">
                          <a:avLst/>
                        </a:prstGeom>
                        <a:ln w="0" cap="sq" cmpd="sng">
                          <a:noFill/>
                          <a:miter lim="800000"/>
                        </a:ln>
                      </wps:spPr>
                      <wps:linkedTxbx id="1" seq="2"/>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62" name="Rectangle 162"/>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3/12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63" name="Rectangle 163"/>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64" name="Rectangle 164"/>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65" name="Rectangle 165"/>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66" name="Rectangle 166"/>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6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7">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68" name="Rectangle 168"/>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69" name="Rectangle 169"/>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70" name="Rectangle 170"/>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71" name="Rectangle 171"/>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51518"/>
                <wp:effectExtent l="0" t="0" r="0" b="0"/>
                <wp:wrapNone/>
                <wp:docPr id="172" name="Rectangle 172"/>
                <wp:cNvGraphicFramePr/>
                <a:graphic xmlns:a="http://schemas.openxmlformats.org/drawingml/2006/main">
                  <a:graphicData uri="http://schemas.microsoft.com/office/word/2010/wordprocessingShape">
                    <wps:wsp>
                      <wps:cNvSpPr/>
                      <wps:spPr bwMode="auto">
                        <a:xfrm>
                          <a:off x="541800" y="1205640"/>
                          <a:ext cx="6508440" cy="8451518"/>
                        </a:xfrm>
                        <a:prstGeom prst="rect">
                          <a:avLst/>
                        </a:prstGeom>
                        <a:ln w="0" cap="sq" cmpd="sng">
                          <a:noFill/>
                          <a:miter lim="800000"/>
                        </a:ln>
                      </wps:spPr>
                      <wps:linkedTxbx id="1" seq="3"/>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73" name="Rectangle 173"/>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4/12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74" name="Rectangle 174"/>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75" name="Rectangle 175"/>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76" name="Rectangle 176"/>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77" name="Rectangle 177"/>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7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8">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79" name="Rectangle 179"/>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80" name="Rectangle 180"/>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81" name="Rectangle 181"/>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82" name="Rectangle 182"/>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198816"/>
                <wp:effectExtent l="0" t="0" r="0" b="0"/>
                <wp:wrapNone/>
                <wp:docPr id="183" name="Rectangle 183"/>
                <wp:cNvGraphicFramePr/>
                <a:graphic xmlns:a="http://schemas.openxmlformats.org/drawingml/2006/main">
                  <a:graphicData uri="http://schemas.microsoft.com/office/word/2010/wordprocessingShape">
                    <wps:wsp>
                      <wps:cNvSpPr/>
                      <wps:spPr bwMode="auto">
                        <a:xfrm>
                          <a:off x="541800" y="1205640"/>
                          <a:ext cx="6508440" cy="8198816"/>
                        </a:xfrm>
                        <a:prstGeom prst="rect">
                          <a:avLst/>
                        </a:prstGeom>
                        <a:ln w="0" cap="sq" cmpd="sng">
                          <a:noFill/>
                          <a:miter lim="800000"/>
                        </a:ln>
                      </wps:spPr>
                      <wps:linkedTxbx id="1" seq="4"/>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84" name="Rectangle 184"/>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5/12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85" name="Rectangle 185"/>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86" name="Rectangle 186"/>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87" name="Rectangle 187"/>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88" name="Rectangle 188"/>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8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9">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90" name="Rectangle 190"/>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91" name="Rectangle 191"/>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92" name="Rectangle 192"/>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93" name="Rectangle 193"/>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19532"/>
                <wp:effectExtent l="0" t="0" r="0" b="0"/>
                <wp:wrapNone/>
                <wp:docPr id="194" name="Rectangle 194"/>
                <wp:cNvGraphicFramePr/>
                <a:graphic xmlns:a="http://schemas.openxmlformats.org/drawingml/2006/main">
                  <a:graphicData uri="http://schemas.microsoft.com/office/word/2010/wordprocessingShape">
                    <wps:wsp>
                      <wps:cNvSpPr/>
                      <wps:spPr bwMode="auto">
                        <a:xfrm>
                          <a:off x="541800" y="1205640"/>
                          <a:ext cx="6508440" cy="8319532"/>
                        </a:xfrm>
                        <a:prstGeom prst="rect">
                          <a:avLst/>
                        </a:prstGeom>
                        <a:ln w="0" cap="sq" cmpd="sng">
                          <a:noFill/>
                          <a:miter lim="800000"/>
                        </a:ln>
                      </wps:spPr>
                      <wps:linkedTxbx id="1" seq="5"/>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00" name="Rectangle 200"/>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6/12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01" name="Rectangle 201"/>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02" name="Rectangle 202"/>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03" name="Rectangle 203"/>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04" name="Rectangle 204"/>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0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5">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06" name="Rectangle 206"/>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07" name="Rectangle 207"/>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08" name="Rectangle 208"/>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09" name="Rectangle 209"/>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78788"/>
                <wp:effectExtent l="0" t="0" r="0" b="0"/>
                <wp:wrapNone/>
                <wp:docPr id="210" name="Rectangle 210"/>
                <wp:cNvGraphicFramePr/>
                <a:graphic xmlns:a="http://schemas.openxmlformats.org/drawingml/2006/main">
                  <a:graphicData uri="http://schemas.microsoft.com/office/word/2010/wordprocessingShape">
                    <wps:wsp>
                      <wps:cNvSpPr/>
                      <wps:spPr bwMode="auto">
                        <a:xfrm>
                          <a:off x="541800" y="1205640"/>
                          <a:ext cx="6508440" cy="8478788"/>
                        </a:xfrm>
                        <a:prstGeom prst="rect">
                          <a:avLst/>
                        </a:prstGeom>
                        <a:ln w="0" cap="sq" cmpd="sng">
                          <a:noFill/>
                          <a:miter lim="800000"/>
                        </a:ln>
                      </wps:spPr>
                      <wps:linkedTxbx id="1" seq="6"/>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11" name="Rectangle 211"/>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7/12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12" name="Rectangle 212"/>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13" name="Rectangle 213"/>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14" name="Rectangle 214"/>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15" name="Rectangle 215"/>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1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6">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17" name="Rectangle 217"/>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18" name="Rectangle 218"/>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19" name="Rectangle 219"/>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20" name="Rectangle 220"/>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36984"/>
                <wp:effectExtent l="0" t="0" r="0" b="0"/>
                <wp:wrapNone/>
                <wp:docPr id="221" name="Rectangle 221"/>
                <wp:cNvGraphicFramePr/>
                <a:graphic xmlns:a="http://schemas.openxmlformats.org/drawingml/2006/main">
                  <a:graphicData uri="http://schemas.microsoft.com/office/word/2010/wordprocessingShape">
                    <wps:wsp>
                      <wps:cNvSpPr/>
                      <wps:spPr bwMode="auto">
                        <a:xfrm>
                          <a:off x="541800" y="1205640"/>
                          <a:ext cx="6508440" cy="8336984"/>
                        </a:xfrm>
                        <a:prstGeom prst="rect">
                          <a:avLst/>
                        </a:prstGeom>
                        <a:ln w="0" cap="sq" cmpd="sng">
                          <a:noFill/>
                          <a:miter lim="800000"/>
                        </a:ln>
                      </wps:spPr>
                      <wps:linkedTxbx id="1" seq="7"/>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22" name="Rectangle 222"/>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8/12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23" name="Rectangle 223"/>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24" name="Rectangle 224"/>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25" name="Rectangle 225"/>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26" name="Rectangle 226"/>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7">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28" name="Rectangle 228"/>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29" name="Rectangle 229"/>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30" name="Rectangle 230"/>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31" name="Rectangle 231"/>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87524"/>
                <wp:effectExtent l="0" t="0" r="0" b="0"/>
                <wp:wrapNone/>
                <wp:docPr id="232" name="Rectangle 232"/>
                <wp:cNvGraphicFramePr/>
                <a:graphic xmlns:a="http://schemas.openxmlformats.org/drawingml/2006/main">
                  <a:graphicData uri="http://schemas.microsoft.com/office/word/2010/wordprocessingShape">
                    <wps:wsp>
                      <wps:cNvSpPr/>
                      <wps:spPr bwMode="auto">
                        <a:xfrm>
                          <a:off x="541800" y="1205640"/>
                          <a:ext cx="6508440" cy="8387524"/>
                        </a:xfrm>
                        <a:prstGeom prst="rect">
                          <a:avLst/>
                        </a:prstGeom>
                        <a:ln w="0" cap="sq" cmpd="sng">
                          <a:noFill/>
                          <a:miter lim="800000"/>
                        </a:ln>
                      </wps:spPr>
                      <wps:linkedTxbx id="1" seq="8"/>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33" name="Rectangle 233"/>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9/12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34" name="Rectangle 234"/>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35" name="Rectangle 235"/>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36" name="Rectangle 236"/>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37" name="Rectangle 237"/>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3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8">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39" name="Rectangle 239"/>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40" name="Rectangle 240"/>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41" name="Rectangle 241"/>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42" name="Rectangle 242"/>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91150"/>
                <wp:effectExtent l="0" t="0" r="0" b="0"/>
                <wp:wrapNone/>
                <wp:docPr id="243" name="Rectangle 243"/>
                <wp:cNvGraphicFramePr/>
                <a:graphic xmlns:a="http://schemas.openxmlformats.org/drawingml/2006/main">
                  <a:graphicData uri="http://schemas.microsoft.com/office/word/2010/wordprocessingShape">
                    <wps:wsp>
                      <wps:cNvSpPr/>
                      <wps:spPr bwMode="auto">
                        <a:xfrm>
                          <a:off x="541800" y="1205640"/>
                          <a:ext cx="6508440" cy="8491150"/>
                        </a:xfrm>
                        <a:prstGeom prst="rect">
                          <a:avLst/>
                        </a:prstGeom>
                        <a:ln w="0" cap="sq" cmpd="sng">
                          <a:noFill/>
                          <a:miter lim="800000"/>
                        </a:ln>
                      </wps:spPr>
                      <wps:linkedTxbx id="1" seq="9"/>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44" name="Rectangle 244"/>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10/12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45" name="Rectangle 245"/>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46" name="Rectangle 246"/>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47" name="Rectangle 247"/>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48" name="Rectangle 248"/>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4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9">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50" name="Rectangle 250"/>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51" name="Rectangle 251"/>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52" name="Rectangle 252"/>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53" name="Rectangle 253"/>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52982"/>
                <wp:effectExtent l="0" t="0" r="0" b="0"/>
                <wp:wrapNone/>
                <wp:docPr id="254" name="Rectangle 254"/>
                <wp:cNvGraphicFramePr/>
                <a:graphic xmlns:a="http://schemas.openxmlformats.org/drawingml/2006/main">
                  <a:graphicData uri="http://schemas.microsoft.com/office/word/2010/wordprocessingShape">
                    <wps:wsp>
                      <wps:cNvSpPr/>
                      <wps:spPr bwMode="auto">
                        <a:xfrm>
                          <a:off x="541800" y="1205640"/>
                          <a:ext cx="6508440" cy="8352982"/>
                        </a:xfrm>
                        <a:prstGeom prst="rect">
                          <a:avLst/>
                        </a:prstGeom>
                        <a:ln w="0" cap="sq" cmpd="sng">
                          <a:noFill/>
                          <a:miter lim="800000"/>
                        </a:ln>
                      </wps:spPr>
                      <wps:linkedTxbx id="1" seq="10"/>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55" name="Rectangle 255"/>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11/12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56" name="Rectangle 256"/>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57" name="Rectangle 257"/>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58" name="Rectangle 258"/>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59" name="Rectangle 259"/>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6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0">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61" name="Rectangle 261"/>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62" name="Rectangle 262"/>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63" name="Rectangle 263"/>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64" name="Rectangle 264"/>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5272564"/>
                <wp:effectExtent l="0" t="0" r="0" b="0"/>
                <wp:wrapNone/>
                <wp:docPr id="265" name="Rectangle 265"/>
                <wp:cNvGraphicFramePr/>
                <a:graphic xmlns:a="http://schemas.openxmlformats.org/drawingml/2006/main">
                  <a:graphicData uri="http://schemas.microsoft.com/office/word/2010/wordprocessingShape">
                    <wps:wsp>
                      <wps:cNvSpPr/>
                      <wps:spPr bwMode="auto">
                        <a:xfrm>
                          <a:off x="541800" y="1205640"/>
                          <a:ext cx="6508440" cy="5272564"/>
                        </a:xfrm>
                        <a:prstGeom prst="rect">
                          <a:avLst/>
                        </a:prstGeom>
                        <a:ln w="0" cap="sq" cmpd="sng">
                          <a:noFill/>
                          <a:miter lim="800000"/>
                        </a:ln>
                      </wps:spPr>
                      <wps:linkedTxbx id="1" seq="1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66" name="Rectangle 266"/>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12/12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67" name="Rectangle 267"/>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68" name="Rectangle 268"/>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Hors serie 9 Infiltration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69" name="Rectangle 269"/>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70" name="Rectangle 270"/>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7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1">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72" name="Rectangle 272"/>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73" name="Rectangle 273"/>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11/09/2026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74" name="Rectangle 274"/>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75" name="Rectangle 275"/>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p>
    <w:sectPr>
      <w:pgSz w:w="11906" w:h="16838" w:orient="portrait"/>
      <w:pgMar w:top="0" w:right="0" w:bottom="0" w:left="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EA"/>
    <w:rsid w:val="00124B35"/>
    <w:rsid w:val="006C6556"/>
    <w:rsid w:val="00931FC8"/>
    <w:rsid w:val="00B003A3"/>
    <w:rsid w:val="00C173EA"/>
    <w:rsid w:val="00D362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8DB4A-2A23-44F0-A0D6-1A0CF2346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de-DE" w:eastAsia="de-DE"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pPr>
      <w:spacing w:after="160" w:line="259" w:lineRule="auto"/>
    </w:pPr>
    <w:rPr>
      <w:sz w:val="22"/>
      <w:szCs w:val="22"/>
      <w:lang w:eastAsia="en-US"/>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Id915" /><Relationship Type="http://schemas.openxmlformats.org/officeDocument/2006/relationships/image" Target="/media/image2.jpg" Id="rId916" /><Relationship Type="http://schemas.openxmlformats.org/officeDocument/2006/relationships/image" Target="/media/image3.jpg" Id="rId917" /><Relationship Type="http://schemas.openxmlformats.org/officeDocument/2006/relationships/image" Target="/media/image4.jpg" Id="rId918" /><Relationship Type="http://schemas.openxmlformats.org/officeDocument/2006/relationships/image" Target="/media/image5.jpg" Id="rId919" /><Relationship Type="http://schemas.openxmlformats.org/officeDocument/2006/relationships/image" Target="/media/image6.jpg" Id="rId920" /><Relationship Type="http://schemas.openxmlformats.org/officeDocument/2006/relationships/image" Target="/media/image7.jpg" Id="rId921" /><Relationship Type="http://schemas.openxmlformats.org/officeDocument/2006/relationships/image" Target="/media/image8.jpg" Id="rId922" /><Relationship Type="http://schemas.openxmlformats.org/officeDocument/2006/relationships/image" Target="/media/image9.jpg" Id="rId923" /><Relationship Type="http://schemas.openxmlformats.org/officeDocument/2006/relationships/image" Target="/media/image10.jpg" Id="rId924" /><Relationship Type="http://schemas.openxmlformats.org/officeDocument/2006/relationships/image" Target="/media/image11.jpg" Id="rId925" /><Relationship Type="http://schemas.openxmlformats.org/officeDocument/2006/relationships/image" Target="/media/image12.jpg" Id="rId926" /><Relationship Type="http://schemas.openxmlformats.org/officeDocument/2006/relationships/image" Target="/media/image13.jpg" Id="rId927" /><Relationship Type="http://schemas.openxmlformats.org/officeDocument/2006/relationships/image" Target="/media/image14.jpg" Id="rId928" /><Relationship Type="http://schemas.openxmlformats.org/officeDocument/2006/relationships/image" Target="/media/image15.jpg" Id="rId929" /><Relationship Type="http://schemas.openxmlformats.org/officeDocument/2006/relationships/image" Target="/media/image16.jpg" Id="rId930" /><Relationship Type="http://schemas.openxmlformats.org/officeDocument/2006/relationships/image" Target="/media/image17.jpg" Id="rId93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