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Default Extension="psmdcp"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5cb243182c324454" /><Relationship Type="http://schemas.openxmlformats.org/package/2006/relationships/metadata/core-properties" Target="/package/services/metadata/core-properties/a3440cbbf59c4939b83b8f686dcf1062.psmdcp" Id="R029be4911f864d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18068"/>
                <wp:effectExtent l="0" t="0" r="0" b="0"/>
                <wp:wrapNone/>
                <wp:docPr id="141" name="Rectangle 141"/>
                <wp:cNvGraphicFramePr/>
                <a:graphic xmlns:a="http://schemas.openxmlformats.org/drawingml/2006/main">
                  <a:graphicData uri="http://schemas.microsoft.com/office/word/2010/wordprocessingShape">
                    <wps:wsp>
                      <wps:cNvSpPr/>
                      <wps:spPr bwMode="auto">
                        <a:xfrm>
                          <a:off x="541800" y="1205640"/>
                          <a:ext cx="6508440" cy="8418068"/>
                        </a:xfrm>
                        <a:prstGeom prst="rect">
                          <a:avLst/>
                        </a:prstGeom>
                        <a:ln w="0" cap="sq" cmpd="sng">
                          <a:noFill/>
                          <a:miter lim="800000"/>
                        </a:ln>
                      </wps:spPr>
                      <wps:txbx id="1">
                        <w:txbxContent>
                          <w:tbl>
                            <w:tblPr>
                              <w:tblLayout w:type="fixed"/>
                              <w:tblInd w:w="0" w:type="dxa"/>
                              <w:tblCellMar>
                                <w:left w:w="0" w:type="dxa"/>
                                <w:right w:w="0" w:type="dxa"/>
                              </w:tblCellMar>
                            </w:tblPr>
                            <w:tblGrid>
                              <w:gridCol w:w="2268"/>
                              <w:gridCol w:w="226"/>
                              <w:gridCol w:w="100"/>
                              <w:gridCol w:w="510"/>
                              <w:gridCol w:w="2608"/>
                              <w:gridCol w:w="4480"/>
                            </w:tblGrid>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56" w:type="dxa"/>
                                    <w:left w:w="56" w:type="dxa"/>
                                    <w:bottom w:w="56"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 Identification de la substance/du mélange et de la société/de l’entreprise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1.1 - Identificateur de produit</w:t>
                                  </w:r>
                                </w:p>
                              </w:tc>
                            </w:tr>
                            <w:tr>
                              <w:trPr>
                                <w:trHeight w:val="44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commercial du produit/désignation</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 Sunshake 10%</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Nom chimique</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Type 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Mélange</w:t>
                                  </w:r>
                                </w:p>
                              </w:tc>
                            </w:tr>
                            <w:tr>
                              <w:trPr>
                                <w:trHeight w:val="221" w:hRule="atLeast"/>
                              </w:trPr>
                              <w:tc>
                                <w:tcPr>
                                  <w:tcW w:w="2264"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Code produit</w:t>
                                  </w:r>
                                </w:p>
                              </w:tc>
                              <w:tc>
                                <w:tcPr>
                                  <w:tcW w:w="7876" w:type="dxa"/>
                                  <w:gridSpan w:val="5"/>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FDS Casa loca</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1.2 - Utilisations identifiées pertinentes de la substance ou du mélange et utilisations déconseillées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5666" w:type="dxa"/>
                                  <w:gridSpan w:val="5"/>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Utilisations identifiées pertinentes</w:t>
                                  </w:r>
                                </w:p>
                              </w:tc>
                              <w:tc>
                                <w:tcPr>
                                  <w:tcW w:w="4474"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Usage consommateur,Usage professionnel</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1.3 - Renseignements concernant le fournisseur de la fiche de données de sécurité</w:t>
                                  </w:r>
                                </w:p>
                              </w:tc>
                            </w:tr>
                            <w:tr>
                              <w:trPr>
                                <w:trHeight w:val="1103"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Casa Loca</w:t>
                                  </w:r>
                                </w:p>
                                <w:p>
                                  <w:pPr>
                                    <w:spacing w:before="0" w:after="0" w:line="200" w:lineRule="exact"/>
                                    <w:jc w:val="left"/>
                                  </w:pPr>
                                  <w:r>
                                    <w:rPr>
                                      <w:rFonts w:ascii="Arial" w:hAnsi="Arial" w:cs="Arial"/>
                                      <w:b w:val="false"/>
                                      <w:i w:val="false"/>
                                      <w:strike w:val="false"/>
                                      <w:color w:val="000000"/>
                                      <w:spacing w:val="0"/>
                                      <w:sz w:val="20"/>
                                      <w:u w:val="none"/>
                                    </w:rPr>
                                    <w:t xml:space="preserve">214 rue gornet boivin</w:t>
                                  </w:r>
                                </w:p>
                                <w:p>
                                  <w:pPr>
                                    <w:spacing w:before="0" w:after="0" w:line="200" w:lineRule="exact"/>
                                    <w:jc w:val="left"/>
                                  </w:pPr>
                                  <w:r>
                                    <w:rPr>
                                      <w:rFonts w:ascii="Arial" w:hAnsi="Arial" w:cs="Arial"/>
                                      <w:b w:val="false"/>
                                      <w:i w:val="false"/>
                                      <w:strike w:val="false"/>
                                      <w:color w:val="000000"/>
                                      <w:spacing w:val="0"/>
                                      <w:sz w:val="20"/>
                                      <w:u w:val="none"/>
                                    </w:rPr>
                                    <w:t xml:space="preserve">10100 Romilly sur seine France</w:t>
                                  </w:r>
                                </w:p>
                                <w:p>
                                  <w:pPr>
                                    <w:spacing w:before="0" w:after="0" w:line="200" w:lineRule="exact"/>
                                    <w:jc w:val="left"/>
                                  </w:pPr>
                                  <w:r>
                                    <w:rPr>
                                      <w:rFonts w:ascii="Arial" w:hAnsi="Arial" w:cs="Arial"/>
                                      <w:b w:val="false"/>
                                      <w:i w:val="false"/>
                                      <w:strike w:val="false"/>
                                      <w:color w:val="000000"/>
                                      <w:spacing w:val="0"/>
                                      <w:sz w:val="20"/>
                                      <w:u w:val="none"/>
                                    </w:rPr>
                                    <w:t xml:space="preserve">Téléphone : 0632985205</w:t>
                                  </w:r>
                                </w:p>
                                <w:p>
                                  <w:pPr>
                                    <w:spacing w:before="0" w:after="0" w:line="200" w:lineRule="exact"/>
                                    <w:jc w:val="left"/>
                                  </w:pPr>
                                  <w:r>
                                    <w:rPr>
                                      <w:rFonts w:ascii="Arial" w:hAnsi="Arial" w:cs="Arial"/>
                                      <w:b w:val="false"/>
                                      <w:i w:val="false"/>
                                      <w:strike w:val="false"/>
                                      <w:color w:val="000000"/>
                                      <w:spacing w:val="0"/>
                                      <w:sz w:val="20"/>
                                      <w:u w:val="none"/>
                                    </w:rPr>
                                    <w:t xml:space="preserve">Site web www.sublimatelier.fr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1.4 - Numéro d’appel d’urgence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ORFILA + 33 (0)1 45 42 59 59 France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2: Identification des dangers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2.1 - Classification de la substance ou du mélange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Classification selon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546"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759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2.2 - Éléments d'étiquetage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étiquetage selon le règlement (CE) N° 1272/2008 [CLP]</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 d'avertissement</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Pictogrammes</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Mentions de danger</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Conseils de prudence</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P101</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 cas de consultation d'un médecin, garder à disposition le récipient ou l'étiquette.</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P102</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Tenir hors de portée des enfants.</w:t>
                                  </w:r>
                                </w:p>
                              </w:tc>
                            </w:tr>
                            <w:tr>
                              <w:trPr>
                                <w:trHeight w:val="211"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P103</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Lire attentivement et bien respecter toutes les instructions.</w:t>
                                  </w:r>
                                </w:p>
                              </w:tc>
                            </w:tr>
                            <w:tr>
                              <w:trPr>
                                <w:trHeight w:val="221" w:hRule="atLeast"/>
                              </w:trPr>
                              <w:tc>
                                <w:tcPr>
                                  <w:tcW w:w="249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Phrases EUH</w:t>
                                  </w:r>
                                </w:p>
                              </w:tc>
                              <w:tc>
                                <w:tcPr>
                                  <w:tcW w:w="56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708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72" w:hRule="atLeast"/>
                              </w:trPr>
                              <w:tc>
                                <w:tcPr>
                                  <w:tcW w:w="2490" w:type="dxa"/>
                                  <w:gridSpan w:val="2"/>
                                  <w:tcBorders>
                                    <w:top w:val="single" w:color="B4B4B4" w:sz="4"/>
                                    <w:left w:val="single" w:color="B4B4B4" w:sz="4"/>
                                    <w:bottom w:val="single" w:color="B4B4B4" w:sz="4"/>
                                    <w:right w:val="single" w:color="B4B4B4" w:sz="4"/>
                                  </w:tcBorders>
                                  <w:shd w:val="clear" w:color="auto" w:fill="FBFBFB"/>
                                  <w:tcMar>
                                    <w:top w:w="56" w:type="dxa"/>
                                    <w:left w:w="56" w:type="dxa"/>
                                    <w:bottom w:w="56"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EUH208</w:t>
                                  </w:r>
                                </w:p>
                              </w:tc>
                              <w:tc>
                                <w:tcPr>
                                  <w:tcW w:w="7650" w:type="dxa"/>
                                  <w:gridSpan w:val="4"/>
                                  <w:tcBorders>
                                    <w:top w:val="single" w:color="B4B4B4" w:sz="4"/>
                                    <w:left w:val="single" w:color="B4B4B4" w:sz="4"/>
                                    <w:bottom w:val="single" w:color="B4B4B4" w:sz="4"/>
                                    <w:right w:val="single" w:color="B4B4B4"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Contient (R)-p-mentha-1,8-diène (5989-27-5) | α-hexylcinnamaldehyde (101-86-0) | Pin-2(10)-ene (127-91-3) | Ethyl 3-phenyloxirane-2-carboxylate (121-39-1) | linalol; 3,7-diméthyl-1,6- octadién-3-ol; dl-linalol (78-70-6) | Coumarin (91-64-5) . Peut produire une réaction allergique.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2.3 - Autres dangers</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3: Composition / informations sur les composants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3.1 - Substances</w:t>
                                  </w:r>
                                </w:p>
                              </w:tc>
                            </w:tr>
                          </w:tbl>
                          <w:tbl>
                            <w:tblPr>
                              <w:tblLayout w:type="fixed"/>
                              <w:tblInd w:w="0" w:type="dxa"/>
                              <w:tblCellMar>
                                <w:left w:w="0" w:type="dxa"/>
                                <w:right w:w="0" w:type="dxa"/>
                              </w:tblCellMar>
                            </w:tblPr>
                            <w:tblGrid>
                              <w:gridCol w:w="2268"/>
                              <w:gridCol w:w="568"/>
                              <w:gridCol w:w="1702"/>
                              <w:gridCol w:w="1078"/>
                              <w:gridCol w:w="2268"/>
                              <w:gridCol w:w="226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Non applicable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3.2 - Mélanges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70"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Nom chimique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Classe(s)</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Concentrations spécifiques</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(R)-p-mentha-1,8-diène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5989-27-5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601-096-00-2</w:t>
                                  </w:r>
                                </w:p>
                                <w:p>
                                  <w:pPr>
                                    <w:spacing w:before="0" w:after="0" w:line="160" w:lineRule="exact"/>
                                    <w:jc w:val="left"/>
                                  </w:pPr>
                                  <w:r>
                                    <w:rPr>
                                      <w:rFonts w:ascii="Arial" w:hAnsi="Arial" w:cs="Arial"/>
                                      <w:b w:val="false"/>
                                      <w:i w:val="false"/>
                                      <w:strike w:val="false"/>
                                      <w:color w:val="000000"/>
                                      <w:spacing w:val="0"/>
                                      <w:sz w:val="16"/>
                                      <w:u w:val="none"/>
                                    </w:rPr>
                                    <w:t xml:space="preserve">N°CE : 227-813-5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0,6763</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α-hexylcinnamaldehyde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101-86-0</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202-983-3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0,51725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linalol; 3,7-diméthyl-1,6- octadién-3-ol; dl-linalol</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78-70-6</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 603-235-00-2</w:t>
                                  </w:r>
                                </w:p>
                                <w:p>
                                  <w:pPr>
                                    <w:spacing w:before="0" w:after="0" w:line="160" w:lineRule="exact"/>
                                    <w:jc w:val="left"/>
                                  </w:pPr>
                                  <w:r>
                                    <w:rPr>
                                      <w:rFonts w:ascii="Arial" w:hAnsi="Arial" w:cs="Arial"/>
                                      <w:b w:val="false"/>
                                      <w:i w:val="false"/>
                                      <w:strike w:val="false"/>
                                      <w:color w:val="000000"/>
                                      <w:spacing w:val="0"/>
                                      <w:sz w:val="16"/>
                                      <w:u w:val="none"/>
                                    </w:rPr>
                                    <w:t xml:space="preserve">N°CE : 201-134-4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0,3735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Eye Irrit. 2 - H319</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Ethyl 3-phenyloxirane-2-carboxylate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121-39-1</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204-467-3</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0,2548</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70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Allyl hexanoate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123-68-2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204-642-4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0,22725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3 Dermal - H311</w:t>
                                  </w:r>
                                </w:p>
                                <w:p>
                                  <w:pPr>
                                    <w:spacing w:before="0" w:after="0" w:line="160" w:lineRule="exact"/>
                                    <w:jc w:val="left"/>
                                  </w:pPr>
                                  <w:r>
                                    <w:rPr>
                                      <w:rFonts w:ascii="Arial" w:hAnsi="Arial" w:cs="Arial"/>
                                      <w:b w:val="false"/>
                                      <w:i w:val="false"/>
                                      <w:strike w:val="false"/>
                                      <w:color w:val="000000"/>
                                      <w:spacing w:val="0"/>
                                      <w:sz w:val="16"/>
                                      <w:u w:val="none"/>
                                    </w:rPr>
                                    <w:t xml:space="preserve">Acute Tox. 3 Oral - H301</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2 - H411</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Allyl hexanoate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123-68-2</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204-642-4</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0,21445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3 Dermal - H311</w:t>
                                  </w:r>
                                </w:p>
                                <w:p>
                                  <w:pPr>
                                    <w:spacing w:before="0" w:after="0" w:line="160" w:lineRule="exact"/>
                                    <w:jc w:val="left"/>
                                  </w:pPr>
                                  <w:r>
                                    <w:rPr>
                                      <w:rFonts w:ascii="Arial" w:hAnsi="Arial" w:cs="Arial"/>
                                      <w:b w:val="false"/>
                                      <w:i w:val="false"/>
                                      <w:strike w:val="false"/>
                                      <w:color w:val="000000"/>
                                      <w:spacing w:val="0"/>
                                      <w:sz w:val="16"/>
                                      <w:u w:val="none"/>
                                    </w:rPr>
                                    <w:t xml:space="preserve">Acute Tox. 3 Inhalation - H331</w:t>
                                  </w:r>
                                </w:p>
                                <w:p>
                                  <w:pPr>
                                    <w:spacing w:before="0" w:after="0" w:line="160" w:lineRule="exact"/>
                                    <w:jc w:val="left"/>
                                  </w:pPr>
                                  <w:r>
                                    <w:rPr>
                                      <w:rFonts w:ascii="Arial" w:hAnsi="Arial" w:cs="Arial"/>
                                      <w:b w:val="false"/>
                                      <w:i w:val="false"/>
                                      <w:strike w:val="false"/>
                                      <w:color w:val="000000"/>
                                      <w:spacing w:val="0"/>
                                      <w:sz w:val="16"/>
                                      <w:u w:val="none"/>
                                    </w:rPr>
                                    <w:t xml:space="preserve">Acute Tox. 3 Oral - H301</w:t>
                                  </w:r>
                                </w:p>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3 - H412</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Facteur M: 1 / 1</w:t>
                                  </w:r>
                                </w:p>
                              </w:tc>
                            </w:tr>
                            <w:tr>
                              <w:trPr>
                                <w:trHeight w:val="106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Pin-2(10)-ene</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127-91-3</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204-872-5</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0,1846</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Aquatic Acute 1 - H400</w:t>
                                  </w:r>
                                </w:p>
                                <w:p>
                                  <w:pPr>
                                    <w:spacing w:before="0" w:after="0" w:line="160" w:lineRule="exact"/>
                                    <w:jc w:val="left"/>
                                  </w:pPr>
                                  <w:r>
                                    <w:rPr>
                                      <w:rFonts w:ascii="Arial" w:hAnsi="Arial" w:cs="Arial"/>
                                      <w:b w:val="false"/>
                                      <w:i w:val="false"/>
                                      <w:strike w:val="false"/>
                                      <w:color w:val="000000"/>
                                      <w:spacing w:val="0"/>
                                      <w:sz w:val="16"/>
                                      <w:u w:val="none"/>
                                    </w:rPr>
                                    <w:t xml:space="preserve">Aquatic Chronic 1 - H410</w:t>
                                  </w:r>
                                </w:p>
                                <w:p>
                                  <w:pPr>
                                    <w:spacing w:before="0" w:after="0" w:line="160" w:lineRule="exact"/>
                                    <w:jc w:val="left"/>
                                  </w:pPr>
                                  <w:r>
                                    <w:rPr>
                                      <w:rFonts w:ascii="Arial" w:hAnsi="Arial" w:cs="Arial"/>
                                      <w:b w:val="false"/>
                                      <w:i w:val="false"/>
                                      <w:strike w:val="false"/>
                                      <w:color w:val="000000"/>
                                      <w:spacing w:val="0"/>
                                      <w:sz w:val="16"/>
                                      <w:u w:val="none"/>
                                    </w:rPr>
                                    <w:t xml:space="preserve">Asp. Tox. 1 - H304</w:t>
                                  </w:r>
                                </w:p>
                                <w:p>
                                  <w:pPr>
                                    <w:spacing w:before="0" w:after="0" w:line="160" w:lineRule="exact"/>
                                    <w:jc w:val="left"/>
                                  </w:pPr>
                                  <w:r>
                                    <w:rPr>
                                      <w:rFonts w:ascii="Arial" w:hAnsi="Arial" w:cs="Arial"/>
                                      <w:b w:val="false"/>
                                      <w:i w:val="false"/>
                                      <w:strike w:val="false"/>
                                      <w:color w:val="000000"/>
                                      <w:spacing w:val="0"/>
                                      <w:sz w:val="16"/>
                                      <w:u w:val="none"/>
                                    </w:rPr>
                                    <w:t xml:space="preserve">Flam. Liq. 3 - H226</w:t>
                                  </w:r>
                                </w:p>
                                <w:p>
                                  <w:pPr>
                                    <w:spacing w:before="0" w:after="0" w:line="160" w:lineRule="exact"/>
                                    <w:jc w:val="left"/>
                                  </w:pPr>
                                  <w:r>
                                    <w:rPr>
                                      <w:rFonts w:ascii="Arial" w:hAnsi="Arial" w:cs="Arial"/>
                                      <w:b w:val="false"/>
                                      <w:i w:val="false"/>
                                      <w:strike w:val="false"/>
                                      <w:color w:val="000000"/>
                                      <w:spacing w:val="0"/>
                                      <w:sz w:val="16"/>
                                      <w:u w:val="none"/>
                                    </w:rPr>
                                    <w:t xml:space="preserve">Skin Irrit. 2 - H315</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529" w:hRule="atLeast"/>
                              </w:trPr>
                              <w:tc>
                                <w:tcPr>
                                  <w:tcW w:w="2264"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Coumarin</w:t>
                                  </w:r>
                                </w:p>
                              </w:tc>
                              <w:tc>
                                <w:tcPr>
                                  <w:tcW w:w="2264" w:type="dxa"/>
                                  <w:gridSpan w:val="2"/>
                                  <w:tcBorders>
                                    <w:top w:val="single" w:color="808080" w:sz="4"/>
                                    <w:left w:val="single" w:color="808080" w:sz="4"/>
                                    <w:bottom w:val="single" w:color="808080" w:sz="4"/>
                                    <w:right w:val="single" w:color="80808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n°CAS : 91-64-5</w:t>
                                  </w:r>
                                </w:p>
                                <w:p>
                                  <w:pPr>
                                    <w:spacing w:before="0" w:after="0" w:line="160" w:lineRule="exact"/>
                                    <w:jc w:val="left"/>
                                  </w:pPr>
                                  <w:r>
                                    <w:rPr>
                                      <w:rFonts w:ascii="Arial" w:hAnsi="Arial" w:cs="Arial"/>
                                      <w:b w:val="false"/>
                                      <w:i w:val="false"/>
                                      <w:strike w:val="false"/>
                                      <w:color w:val="000000"/>
                                      <w:spacing w:val="0"/>
                                      <w:sz w:val="16"/>
                                      <w:u w:val="none"/>
                                    </w:rPr>
                                    <w:t xml:space="preserve">Numéro d´identification UE :</w:t>
                                  </w:r>
                                </w:p>
                                <w:p>
                                  <w:pPr>
                                    <w:spacing w:before="0" w:after="0" w:line="160" w:lineRule="exact"/>
                                    <w:jc w:val="left"/>
                                  </w:pPr>
                                  <w:r>
                                    <w:rPr>
                                      <w:rFonts w:ascii="Arial" w:hAnsi="Arial" w:cs="Arial"/>
                                      <w:b w:val="false"/>
                                      <w:i w:val="false"/>
                                      <w:strike w:val="false"/>
                                      <w:color w:val="000000"/>
                                      <w:spacing w:val="0"/>
                                      <w:sz w:val="16"/>
                                      <w:u w:val="none"/>
                                    </w:rPr>
                                    <w:t xml:space="preserve">N°CE : 202-086-7</w:t>
                                  </w:r>
                                </w:p>
                              </w:tc>
                              <w:tc>
                                <w:tcPr>
                                  <w:tcW w:w="107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0,11375</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Acute Tox. 4 Oral - H302</w:t>
                                  </w:r>
                                </w:p>
                                <w:p>
                                  <w:pPr>
                                    <w:spacing w:before="0" w:after="0" w:line="160" w:lineRule="exact"/>
                                    <w:jc w:val="left"/>
                                  </w:pPr>
                                  <w:r>
                                    <w:rPr>
                                      <w:rFonts w:ascii="Arial" w:hAnsi="Arial" w:cs="Arial"/>
                                      <w:b w:val="false"/>
                                      <w:i w:val="false"/>
                                      <w:strike w:val="false"/>
                                      <w:color w:val="000000"/>
                                      <w:spacing w:val="0"/>
                                      <w:sz w:val="16"/>
                                      <w:u w:val="none"/>
                                    </w:rPr>
                                    <w:t xml:space="preserve">Skin Sens. 1B - H317</w:t>
                                  </w:r>
                                </w:p>
                              </w:tc>
                              <w:tc>
                                <w:tcPr>
                                  <w:tcW w:w="226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160" w:lineRule="exact"/>
                                    <w:jc w:val="left"/>
                                  </w:pPr>
                                  <w:r>
                                    <w:rPr>
                                      <w:rFonts w:ascii="Arial" w:hAnsi="Arial" w:cs="Arial"/>
                                      <w:b w:val="false"/>
                                      <w:i w:val="false"/>
                                      <w:strike w:val="false"/>
                                      <w:color w:val="000000"/>
                                      <w:spacing w:val="0"/>
                                      <w:sz w:val="16"/>
                                      <w:u w:val="none"/>
                                    </w:rPr>
                                    <w:t xml:space="preserve">Non applicable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4: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4.1 - Description des mesures de premiers secours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de l'air frais.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Rincer immédiatement soigneusement et abondamment avec un bain oculaire ou de l'eau.</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En cas d'ingestion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En cas de doute ou si des symptômes sont observés, consulter un médecin.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4.2 - Principaux symptômes et effets, aigus et différés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d'inhalation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la peau</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Après  contact avec les yeux</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bl>
                          <w:tbl>
                            <w:tblPr>
                              <w:tblLayout w:type="fixed"/>
                              <w:tblInd w:w="0" w:type="dxa"/>
                              <w:tblCellMar>
                                <w:left w:w="0" w:type="dxa"/>
                                <w:right w:w="0" w:type="dxa"/>
                              </w:tblCellMar>
                            </w:tblPr>
                            <w:tblGrid>
                              <w:gridCol w:w="2836"/>
                              <w:gridCol w:w="7314"/>
                            </w:tblGrid>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Symptômes et effets - En cas  d'ingestion</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4.3 - Indication des éventuels soins médicaux immédiats et traitements particuliers nécessaires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5: Mesures de lutte contre l'incendie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5.1 - Moyens d'extinction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ABC-poudre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Brouillard d'eau</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Dioxyde de carbone (CO2)</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Moyens d'extinction  inappropriés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Jet d'eau puissant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5.2 - Dangers particuliers résultant de la substance ou du mélange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particuliers résultant  de la substance ou du  mélange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Produits de décomposition  dangereux</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5.3 - Conseils aux pompiers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Adaptez les mesures de lutte contre l'incendie aux environs de l'incendie.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6: Mesures à prendre en cas de dispersion accidentelle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6.1 - Précautions individuelles, équipement de protection et procédures d’urgence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non-secouristes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Pour les secouristes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Fournir une ventilation adéquate.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Utiliser un équipement de protection individuelle.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6.2 - Précautions pour la protection de l’environnement</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6.3 - Méthodes et matériel de confinement et de nettoyage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confinement</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et matériel de  nettoyage</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Éviter la génération de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Ramasser sans poussière et déposer sans poussière.</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Utilisez un aspirateur industriel agréé pour l'enlèvement.</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Ventiler la zone affectée.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Techniques inappropriées</w:t>
                                  </w:r>
                                </w:p>
                              </w:tc>
                              <w:tc>
                                <w:tcPr>
                                  <w:tcW w:w="7310"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bl>
                          <w:tbl>
                            <w:tblPr>
                              <w:tblLayout w:type="fixed"/>
                              <w:tblInd w:w="0" w:type="dxa"/>
                              <w:tblCellMar>
                                <w:left w:w="0" w:type="dxa"/>
                                <w:right w:w="0" w:type="dxa"/>
                              </w:tblCellMar>
                            </w:tblPr>
                            <w:tblGrid>
                              <w:gridCol w:w="2552"/>
                              <w:gridCol w:w="284"/>
                              <w:gridCol w:w="2268"/>
                              <w:gridCol w:w="2552"/>
                              <w:gridCol w:w="568"/>
                              <w:gridCol w:w="1928"/>
                            </w:tblGrid>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6.4 - Référence à d'autres rubriques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Élimination : voir section 13</w:t>
                                  </w: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Equipement de protection individuelle : voir rubrique 8</w:t>
                                  </w: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Manipulation sûre : voir section 7</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7: Manipulation et stockage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7.1 - Précautions à prendre pour une manipulation sans danger</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Recommandation</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Notice explicative sur l'hygiène industrielle générale</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7.2 - Conditions d’un stockage sûr, y compris les éventuelles incompatibilités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Conserver/stocker uniquement dans le récipient d'origine.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7.3 - Utilisation(s) finale(s) particulière(s)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Respecter la fiche technique.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8: Contrôles de l’exposition/protection individuelle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8.1 - Paramètres de contrôle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8.2 - Contrôles de l'exposition</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techniques  appropriés</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Mesures de protection  individuelle, telles que les  équipements de protection  individuelle</w:t>
                                  </w: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Blouse de laboratoire.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vAlign w:val="top"/>
                                </w:tcPr>
                                <w:p>
                                  <w:pPr>
                                    <w:spacing w:before="0" w:after="0" w:line="20" w:lineRule="atLeast"/>
                                    <w:jc w:val="left"/>
                                    <w:rPr>
                                      <w:sz w:val="4"/>
                                      <w:szCs w:val="4"/>
                                    </w:rPr>
                                  </w:pPr>
                                </w:p>
                              </w:tc>
                            </w:tr>
                            <w:tr>
                              <w:trPr>
                                <w:trHeight w:val="1134" w:hRule="exac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5382" w:type="dxa"/>
                                  <w:gridSpan w:val="3"/>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Lunettes de sécurité anti-poussière.</w:t>
                                  </w:r>
                                </w:p>
                              </w:tc>
                              <w:tc>
                                <w:tcPr>
                                  <w:tcW w:w="1922" w:type="dxa"/>
                                  <w:tcBorders>
                                    <w:top w:val="nil" w:color="000000" w:sz="0"/>
                                    <w:left w:val="nil" w:color="000000" w:sz="0"/>
                                    <w:bottom w:val="nil" w:color="000000" w:sz="0"/>
                                    <w:right w:val="nil" w:color="000000" w:sz="0"/>
                                  </w:tcBorders>
                                  <w:tcMar>
                                    <w:top w:w="0" w:type="dxa"/>
                                    <w:left w:w="56" w:type="dxa"/>
                                    <w:bottom w:w="0" w:type="dxa"/>
                                    <w:right w:w="56" w:type="dxa"/>
                                  </w:tcMar>
                                </w:tcPr>
                                <w:p>
                                  <w:pPr>
                                    <w:rPr>
                                      <w:lang w:val="en-US"/>
                                    </w:rPr>
                                  </w:pPr>
                                  <w:r>
                                    <w:rPr>
                                      <w:sz w:val="2"/>
                                    </w:rPr>
                                    <w:drawing>
                                      <wp:inline distT="0" distB="0" distL="0" distR="0" wp14:anchorId="62EC9BC3" wp14:editId="2A206D38">
                                        <wp:extent cx="1152000" cy="720000"/>
                                        <wp:effectExtent l="0" t="0" r="0" b="0"/>
                                        <wp:docPr id="17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918">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Contrôles d'exposition liés à la protection de l'environnement</w:t>
                                  </w:r>
                                </w:p>
                              </w:tc>
                              <w:tc>
                                <w:tcPr>
                                  <w:tcW w:w="7310" w:type="dxa"/>
                                  <w:gridSpan w:val="4"/>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6"/>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9: Propriétés physiques et chimiques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9.1 - Informations sur les propriétés physiques et chimiques essentielles</w:t>
                                  </w:r>
                                </w:p>
                              </w:tc>
                            </w:tr>
                            <w:tr>
                              <w:trPr>
                                <w:trHeight w:val="170"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État</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Aspect</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Solide</w:t>
                                  </w:r>
                                </w:p>
                              </w:tc>
                            </w:tr>
                            <w:tr>
                              <w:trPr>
                                <w:trHeight w:val="221" w:hRule="atLeast"/>
                              </w:trPr>
                              <w:tc>
                                <w:tcPr>
                                  <w:tcW w:w="2546"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Couleur</w:t>
                                  </w:r>
                                </w:p>
                              </w:tc>
                              <w:tc>
                                <w:tcPr>
                                  <w:tcW w:w="2546"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ivoire</w:t>
                                  </w:r>
                                </w:p>
                              </w:tc>
                              <w:tc>
                                <w:tcPr>
                                  <w:tcW w:w="2546"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Odeur</w:t>
                                  </w:r>
                                </w:p>
                              </w:tc>
                              <w:tc>
                                <w:tcPr>
                                  <w:tcW w:w="249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caractéristique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Seuil olfactif</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pH</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fusion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3"/>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de congélation</w:t>
                                  </w:r>
                                </w:p>
                              </w:tc>
                              <w:tc>
                                <w:tcPr>
                                  <w:tcW w:w="5042" w:type="dxa"/>
                                  <w:gridSpan w:val="3"/>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bl>
                          <w:tbl>
                            <w:tblPr>
                              <w:tblLayout w:type="fixed"/>
                              <w:tblInd w:w="0" w:type="dxa"/>
                              <w:tblCellMar>
                                <w:left w:w="0" w:type="dxa"/>
                                <w:right w:w="0" w:type="dxa"/>
                              </w:tblCellMar>
                            </w:tblPr>
                            <w:tblGrid>
                              <w:gridCol w:w="5104"/>
                              <w:gridCol w:w="5046"/>
                            </w:tblGrid>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d'ébullition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Point éclair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&lt; 100 °C</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Taux d'évaporation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inférieure d’explosivité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Limite supérieure d'explosivité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Pression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de la vapeur</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 relative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Densité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(Eau)</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(Ethanol)</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(Acétone)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Solubilité (Solvants organiques)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d’auto-inflammabilité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Température de décomposition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cinématique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Viscosité, dynamique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Caractéristiques des particules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Taille des particules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Empoussièrement</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Aire de surface spécifique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Forme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9.2 - Autres informations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COV</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Energie minimale d'ignition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Conductivité</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Indice de réfraction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Teneur en corps solides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Tension de surface</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Concentration de saturation</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2"/>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10: Stabilité et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10.1 - Réactivité</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Ce matériau est considéré comme non réactif dans des conditions normales d'utilisation.</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10.2 - Stabilité chimique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Le produit est chimiquement stable dans les conditions recommandées de stockage, d'utilisation et de température.</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10.3 - Possibilité de réactions dangereuses</w:t>
                                  </w:r>
                                </w:p>
                              </w:tc>
                            </w:tr>
                            <w:tr>
                              <w:trPr>
                                <w:trHeight w:val="113"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réaction dangereuse lors de la manipulation et du stockage conformément aux dispositions.</w:t>
                                  </w:r>
                                </w:p>
                              </w:tc>
                            </w:tr>
                          </w:tbl>
                          <w:tbl>
                            <w:tblPr>
                              <w:tblLayout w:type="fixed"/>
                              <w:tblInd w:w="0" w:type="dxa"/>
                              <w:tblCellMar>
                                <w:left w:w="0" w:type="dxa"/>
                                <w:right w:w="0" w:type="dxa"/>
                              </w:tblCellMar>
                            </w:tblPr>
                            <w:tblGrid>
                              <w:gridCol w:w="2836"/>
                              <w:gridCol w:w="4536"/>
                              <w:gridCol w:w="2778"/>
                            </w:tblGrid>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10.4 - Conditions à éviter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Stable dans les conditions de stockage et de manipulation recommandées.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10.5 - Matières incompatibles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10.6 - Produits de décomposition dangereux</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11: Informations toxicologiques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11.1 - Informations sur les classes de danger telles que définies dans le règlement (CE) no 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aiguë</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Orale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DL50 Cutanée (lapin)</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poussières brouillard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453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Inhalation vapeurs (rat)</w:t>
                                  </w:r>
                                </w:p>
                              </w:tc>
                              <w:tc>
                                <w:tcPr>
                                  <w:tcW w:w="2774"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Corrosion cutanée/irritation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Lésions oculaires  graves/irritation oculaire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Sensibilisation respiratoire ou  cutanée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Mutagénicité sur les cellules  germinales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Cancérogénicité</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pour la reproduction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unique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2268"/>
                              <w:gridCol w:w="5046"/>
                            </w:tblGrid>
                            <w:tr>
                              <w:trPr>
                                <w:trHeight w:val="662"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spécifique pour  certains organes cibles –  exposition répétée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 par aspiration</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Non classé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n'est pas applicable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11.2 - Informations sur les autres dangers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12: Informations écologiques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12.1 - Toxicité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Toxicité : Mélange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CE50 48h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CL50 96h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CEr50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poissons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crustacés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algues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NOEC chronique autres plantes aquatiques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12.2 - Persistance et dégradabilité</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biochimique en oxygène (DBO)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Demande chimique en oxygène (DCO)</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de biodégradation en 28 jours</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12.3 - Potentiel de bioaccumulation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Facteur de bioconcentration (FBC)</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211" w:hRule="atLeast"/>
                              </w:trPr>
                              <w:tc>
                                <w:tcPr>
                                  <w:tcW w:w="5098" w:type="dxa"/>
                                  <w:gridSpan w:val="2"/>
                                  <w:tcBorders>
                                    <w:top w:val="single" w:color="606060" w:sz="4"/>
                                    <w:left w:val="single" w:color="606060" w:sz="4"/>
                                    <w:bottom w:val="single" w:color="606060" w:sz="4"/>
                                    <w:right w:val="single" w:color="606060"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Log KOW</w:t>
                                  </w:r>
                                </w:p>
                              </w:tc>
                              <w:tc>
                                <w:tcPr>
                                  <w:tcW w:w="5042" w:type="dxa"/>
                                  <w:tcBorders>
                                    <w:top w:val="single" w:color="606060" w:sz="4"/>
                                    <w:left w:val="single" w:color="606060" w:sz="4"/>
                                    <w:bottom w:val="single" w:color="606060" w:sz="4"/>
                                    <w:right w:val="single" w:color="606060"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12.4 - Mobilité dans le sol</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12.5 - Résultats des évaluations PBT et vPvB</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12.6 - Propriétés perturbant le système endocrinien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12.7 - Autres effets néfastes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donnée disponible.</w:t>
                                  </w:r>
                                </w:p>
                              </w:tc>
                            </w:tr>
                          </w:tbl>
                          <w:tbl>
                            <w:tblPr>
                              <w:tblLayout w:type="fixed"/>
                              <w:tblInd w:w="0" w:type="dxa"/>
                              <w:tblCellMar>
                                <w:left w:w="0" w:type="dxa"/>
                                <w:right w:w="0" w:type="dxa"/>
                              </w:tblCellMar>
                            </w:tblPr>
                            <w:tblGrid>
                              <w:gridCol w:w="2836"/>
                              <w:gridCol w:w="568"/>
                              <w:gridCol w:w="6748"/>
                            </w:tblGrid>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13: Considérations relatives à l'élimination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13.1 - Méthodes de traitement des déchets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Méthodes de traitement des  déchets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Evacuation des eaux</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Précautions particulières à  prendre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Aucune information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 Communautaire  ou Nationale ou Régionale</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Éliminer les déchets conformément à la législation en vigueur.</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14: Informations relatives au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14.1 - Numéro ONU ou numéro d’identification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14.2 - Désignation officielle de transport de l'ONU</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14.3 - Classe(s) de danger pour le transport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14.4 - Groupe d'emballage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14.5 - Dangers pour l’environnement</w:t>
                                  </w:r>
                                </w:p>
                              </w:tc>
                            </w:tr>
                            <w:tr>
                              <w:trPr>
                                <w:trHeight w:val="170"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Dangers pour l’environnement</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Polluant marin</w:t>
                                  </w:r>
                                </w:p>
                              </w:tc>
                              <w:tc>
                                <w:tcPr>
                                  <w:tcW w:w="56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w:t>
                                  </w:r>
                                </w:p>
                              </w:tc>
                              <w:tc>
                                <w:tcPr>
                                  <w:tcW w:w="6742" w:type="dxa"/>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14.6 - Précautions particulières à prendre par l’utilisateur</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14.7 - Transport maritime en vrac conformément aux instruments de l’OMI</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15: Informations relatives à la réglementation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94"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15.1 - Réglementations/législation particulières à la substance ou au mélange en matière de sécurité, de santé et d’environnement</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REACH  candidates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XIV</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Substances Annex XVII</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Teneur en COV</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Aucune donnée disponible</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1324" w:hRule="atLeast"/>
                              </w:trPr>
                              <w:tc>
                                <w:tcPr>
                                  <w:tcW w:w="2830" w:type="dxa"/>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Dispositions communautaires  en matière de sécurité, de  santé et d’environnement, lois  nationales</w:t>
                                  </w:r>
                                </w:p>
                              </w:tc>
                              <w:tc>
                                <w:tcPr>
                                  <w:tcW w:w="7310"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Cette FDS a été établie conformément au règlement REACH, y compris ses modifications: règlement REACH (CE) n °</w:t>
                                  </w:r>
                                </w:p>
                                <w:p>
                                  <w:pPr>
                                    <w:spacing w:before="0" w:after="0" w:line="200" w:lineRule="exact"/>
                                    <w:jc w:val="left"/>
                                  </w:pPr>
                                  <w:r>
                                    <w:rPr>
                                      <w:rFonts w:ascii="Arial" w:hAnsi="Arial" w:cs="Arial"/>
                                      <w:b w:val="false"/>
                                      <w:i w:val="false"/>
                                      <w:strike w:val="false"/>
                                      <w:color w:val="000000"/>
                                      <w:spacing w:val="0"/>
                                      <w:sz w:val="20"/>
                                      <w:u w:val="none"/>
                                    </w:rPr>
                                    <w:t xml:space="preserve">1907/2006.</w:t>
                                  </w:r>
                                </w:p>
                                <w:p>
                                  <w:pPr>
                                    <w:spacing w:before="0" w:after="0" w:line="200" w:lineRule="exact"/>
                                    <w:jc w:val="left"/>
                                  </w:pPr>
                                  <w:r>
                                    <w:rPr>
                                      <w:rFonts w:ascii="Arial" w:hAnsi="Arial" w:cs="Arial"/>
                                      <w:b w:val="false"/>
                                      <w:i w:val="false"/>
                                      <w:strike w:val="false"/>
                                      <w:color w:val="000000"/>
                                      <w:spacing w:val="0"/>
                                      <w:sz w:val="20"/>
                                      <w:u w:val="none"/>
                                    </w:rPr>
                                    <w:t xml:space="preserve">Cette SDS a été établie conformément à la réglementation CLP, y compris ses modifications: règlement CLP n °</w:t>
                                  </w:r>
                                </w:p>
                                <w:p>
                                  <w:pPr>
                                    <w:spacing w:before="0" w:after="0" w:line="200" w:lineRule="exact"/>
                                    <w:jc w:val="left"/>
                                  </w:pPr>
                                  <w:r>
                                    <w:rPr>
                                      <w:rFonts w:ascii="Arial" w:hAnsi="Arial" w:cs="Arial"/>
                                      <w:b w:val="false"/>
                                      <w:i w:val="false"/>
                                      <w:strike w:val="false"/>
                                      <w:color w:val="000000"/>
                                      <w:spacing w:val="0"/>
                                      <w:sz w:val="20"/>
                                      <w:u w:val="none"/>
                                    </w:rPr>
                                    <w:t xml:space="preserve">1272/2008.</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47"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20" w:lineRule="exact"/>
                                    <w:jc w:val="left"/>
                                  </w:pPr>
                                  <w:r>
                                    <w:rPr>
                                      <w:rFonts w:ascii="Arial" w:hAnsi="Arial" w:cs="Arial"/>
                                      <w:b w:val="false"/>
                                      <w:i w:val="false"/>
                                      <w:strike w:val="false"/>
                                      <w:color w:val="000000"/>
                                      <w:spacing w:val="0"/>
                                      <w:sz w:val="22"/>
                                      <w:u w:val="none"/>
                                    </w:rPr>
                                    <w:t xml:space="preserve">15.2 - Évaluation de la sécurité chimique</w:t>
                                  </w:r>
                                </w:p>
                              </w:tc>
                            </w:tr>
                            <w:tr>
                              <w:trPr>
                                <w:trHeight w:val="284"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66" w:hRule="atLeast"/>
                              </w:trPr>
                              <w:tc>
                                <w:tcPr>
                                  <w:tcW w:w="10144" w:type="dxa"/>
                                  <w:gridSpan w:val="3"/>
                                  <w:tcBorders>
                                    <w:top w:val="single" w:color="D92A33" w:sz="4"/>
                                    <w:left w:val="nil" w:color="000000" w:sz="0"/>
                                    <w:bottom w:val="single" w:color="D92A33" w:sz="4"/>
                                    <w:right w:val="nil" w:color="000000" w:sz="0"/>
                                  </w:tcBorders>
                                  <w:shd w:val="clear" w:color="auto" w:fill="FBFBFB"/>
                                  <w:tcMar>
                                    <w:top w:w="28" w:type="dxa"/>
                                    <w:left w:w="56" w:type="dxa"/>
                                    <w:bottom w:w="28" w:type="dxa"/>
                                    <w:right w:w="56" w:type="dxa"/>
                                  </w:tcMar>
                                  <w:vAlign w:val="top"/>
                                </w:tcPr>
                                <w:p>
                                  <w:pPr>
                                    <w:spacing w:before="0" w:after="0" w:line="240" w:lineRule="exact"/>
                                    <w:jc w:val="left"/>
                                  </w:pPr>
                                  <w:r>
                                    <w:rPr>
                                      <w:rFonts w:ascii="Arial" w:hAnsi="Arial" w:cs="Arial"/>
                                      <w:b w:val="true"/>
                                      <w:i w:val="false"/>
                                      <w:strike w:val="false"/>
                                      <w:color w:val="606060"/>
                                      <w:spacing w:val="0"/>
                                      <w:sz w:val="24"/>
                                      <w:u w:val="none"/>
                                    </w:rPr>
                                    <w:t xml:space="preserve">RUBRIQUE 16: Autres informations</w:t>
                                  </w:r>
                                </w:p>
                              </w:tc>
                            </w:tr>
                            <w:tr>
                              <w:trPr>
                                <w:trHeight w:val="113" w:hRule="exact"/>
                              </w:trPr>
                              <w:tc>
                                <w:tcPr>
                                  <w:tcW w:w="-4" w:type="dxa"/>
                                  <w:gridSpan w:val="3"/>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3"/>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Versions de la FDS</w:t>
                                  </w:r>
                                </w:p>
                              </w:tc>
                            </w:tr>
                          </w:tbl>
                          <w:tbl>
                            <w:tblPr>
                              <w:tblLayout w:type="fixed"/>
                              <w:tblInd w:w="0" w:type="dxa"/>
                              <w:tblCellMar>
                                <w:left w:w="0" w:type="dxa"/>
                                <w:right w:w="0" w:type="dxa"/>
                              </w:tblCellMar>
                            </w:tblPr>
                            <w:tblGrid>
                              <w:gridCol w:w="964"/>
                              <w:gridCol w:w="738"/>
                              <w:gridCol w:w="510"/>
                              <w:gridCol w:w="1190"/>
                              <w:gridCol w:w="1078"/>
                              <w:gridCol w:w="5670"/>
                            </w:tblGrid>
                            <w:tr>
                              <w:trPr>
                                <w:trHeight w:val="431" w:hRule="atLeast"/>
                              </w:trPr>
                              <w:tc>
                                <w:tcPr>
                                  <w:tcW w:w="958" w:type="dxa"/>
                                  <w:tcBorders>
                                    <w:top w:val="single" w:color="666666" w:sz="4"/>
                                    <w:left w:val="single" w:color="666666" w:sz="4"/>
                                    <w:bottom w:val="single" w:color="666666" w:sz="4"/>
                                    <w:right w:val="single" w:color="666666" w:sz="4"/>
                                  </w:tcBorders>
                                  <w:shd w:val="clear" w:color="auto" w:fill="CCCCCC"/>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Version</w:t>
                                  </w:r>
                                </w:p>
                              </w:tc>
                              <w:tc>
                                <w:tcPr>
                                  <w:tcW w:w="1242" w:type="dxa"/>
                                  <w:gridSpan w:val="2"/>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Date d'émission</w:t>
                                  </w:r>
                                </w:p>
                              </w:tc>
                              <w:tc>
                                <w:tcPr>
                                  <w:tcW w:w="2264" w:type="dxa"/>
                                  <w:gridSpan w:val="2"/>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Auteur</w:t>
                                  </w:r>
                                </w:p>
                              </w:tc>
                              <w:tc>
                                <w:tcPr>
                                  <w:tcW w:w="5666" w:type="dxa"/>
                                  <w:tcBorders>
                                    <w:top w:val="single" w:color="666666" w:sz="4"/>
                                    <w:left w:val="single" w:color="666666" w:sz="4"/>
                                    <w:bottom w:val="single" w:color="666666" w:sz="4"/>
                                    <w:right w:val="single" w:color="666666" w:sz="4"/>
                                  </w:tcBorders>
                                  <w:shd w:val="clear" w:color="auto" w:fill="CCCCCC"/>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Description des modifications</w:t>
                                  </w:r>
                                </w:p>
                              </w:tc>
                            </w:tr>
                            <w:tr>
                              <w:trPr>
                                <w:trHeight w:val="216" w:hRule="atLeast"/>
                              </w:trPr>
                              <w:tc>
                                <w:tcPr>
                                  <w:tcW w:w="958"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1</w:t>
                                  </w:r>
                                </w:p>
                              </w:tc>
                              <w:tc>
                                <w:tcPr>
                                  <w:tcW w:w="1242"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04/06/2026</w:t>
                                  </w:r>
                                </w:p>
                              </w:tc>
                              <w:tc>
                                <w:tcPr>
                                  <w:tcW w:w="2264" w:type="dxa"/>
                                  <w:gridSpan w:val="2"/>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c>
                                <w:tcPr>
                                  <w:tcW w:w="5666"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 w:lineRule="atLeast"/>
                                    <w:jc w:val="left"/>
                                    <w:rPr>
                                      <w:sz w:val="4"/>
                                      <w:szCs w:val="4"/>
                                    </w:rPr>
                                  </w:pP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Abréviations et acronymes</w:t>
                                  </w: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ADR : L'Accord relatif au transport international des marchandises dangereuses par route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ATE : Estimation de la toxicité aiguë.</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CL50 : Concentration létale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CMEO : Concentration la plus faible avec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DL50 : Dose mortelle à 50 % d'un animal testé.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DMEO : niveau d'effet indésirable observé le plus bas.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DNEL : niveau dérivé sans effet.</w:t>
                                  </w:r>
                                </w:p>
                              </w:tc>
                            </w:tr>
                            <w:tr>
                              <w:trPr>
                                <w:trHeight w:val="44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EC50 : Concentration efficace de la substance provoquant des effets néfastes chez 50 % des animaux testés.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IATA : Association du transport aérien international.</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IMDG : Marchandises dangereuses maritimes internationales.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 CE : Numéro de la Communauté Européenne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NOEC : Concentration sans effet observé.</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NOEL : Aucun niveau d’effet observable.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Numéro CAS : Numéro du Chemical Abstracts Service.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OACI : Organisation de l'aviation civile internationale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PBT : Persistant, Bioaccumulable et Toxique.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PNEC : concentration prévue sans effet.</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RID : Transport international ferroviaire de marchandises dangereuses.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STEL : Limite d'exposition à court terme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TWA : moyenne pondérée dans le temps</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VLEP : Limite d'exposition professionnelle.</w:t>
                                  </w:r>
                                </w:p>
                              </w:tc>
                            </w:tr>
                            <w:tr>
                              <w:trPr>
                                <w:trHeight w:val="221" w:hRule="atLeast"/>
                              </w:trPr>
                              <w:tc>
                                <w:tcPr>
                                  <w:tcW w:w="3398" w:type="dxa"/>
                                  <w:gridSpan w:val="4"/>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 w:lineRule="atLeast"/>
                                    <w:jc w:val="left"/>
                                    <w:rPr>
                                      <w:sz w:val="4"/>
                                      <w:szCs w:val="4"/>
                                    </w:rPr>
                                  </w:pPr>
                                </w:p>
                              </w:tc>
                              <w:tc>
                                <w:tcPr>
                                  <w:tcW w:w="6742" w:type="dxa"/>
                                  <w:gridSpan w:val="2"/>
                                  <w:tcBorders>
                                    <w:top w:val="nil" w:color="000000" w:sz="0"/>
                                    <w:left w:val="nil" w:color="000000" w:sz="0"/>
                                    <w:bottom w:val="nil" w:color="000000" w:sz="0"/>
                                    <w:right w:val="nil" w:color="000000" w:sz="0"/>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 vPvB : très persistant et très bioaccumulable.</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21" w:hRule="atLeast"/>
                              </w:trPr>
                              <w:tc>
                                <w:tcPr>
                                  <w:tcW w:w="10144" w:type="dxa"/>
                                  <w:gridSpan w:val="6"/>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single"/>
                                    </w:rPr>
                                    <w:t xml:space="preserve">Textes des phrases réglementaires</w:t>
                                  </w:r>
                                </w:p>
                              </w:tc>
                            </w:tr>
                            <w:tr>
                              <w:trPr>
                                <w:trHeight w:val="113" w:hRule="exact"/>
                              </w:trPr>
                              <w:tc>
                                <w:tcPr>
                                  <w:tcW w:w="-4" w:type="dxa"/>
                                  <w:gridSpan w:val="6"/>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437"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Dermal</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(dermique) - Catégorie 3</w:t>
                                  </w:r>
                                </w:p>
                              </w:tc>
                            </w:tr>
                            <w:tr>
                              <w:trPr>
                                <w:trHeight w:val="437"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Inhalation</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inhalation) - Catégorie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3 Oral</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Acute Tox. 4 Oral</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Toxicité aiguë (par voie orale) - Catégorie 4</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Acute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Acute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2</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2</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Aquatic Chronic 3</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pour l'environnement aquatique - Aquatic Chronic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Asp. Tox. 1</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Danger par aspiration - Catégorie 1</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Eye Irrit. 2</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oculaire - Catégorie 2</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Flam. Liq. 3</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 - Catégorie 3</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H226</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Liquide et vapeurs inflammables.</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H304</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être mortel en cas d'ingestion et de pénétration dans les voies respiratoires.</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H315</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Provoque une irritation cutanée.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H317</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Peut provoquer une allergie cutanée.</w:t>
                                  </w:r>
                                </w:p>
                              </w:tc>
                            </w:tr>
                            <w:tr>
                              <w:trPr>
                                <w:trHeight w:val="216" w:hRule="atLeast"/>
                              </w:trPr>
                              <w:tc>
                                <w:tcPr>
                                  <w:tcW w:w="1696" w:type="dxa"/>
                                  <w:gridSpan w:val="2"/>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H410</w:t>
                                  </w:r>
                                </w:p>
                              </w:tc>
                              <w:tc>
                                <w:tcPr>
                                  <w:tcW w:w="8444" w:type="dxa"/>
                                  <w:gridSpan w:val="4"/>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Très toxique pour les organismes aquatiques, entraîne des effets néfastes à long terme.</w:t>
                                  </w:r>
                                </w:p>
                              </w:tc>
                            </w:tr>
                          </w:tbl>
                          <w:tbl>
                            <w:tblPr>
                              <w:tblLayout w:type="fixed"/>
                              <w:tblInd w:w="0" w:type="dxa"/>
                              <w:tblCellMar>
                                <w:left w:w="0" w:type="dxa"/>
                                <w:right w:w="0" w:type="dxa"/>
                              </w:tblCellMar>
                            </w:tblPr>
                            <w:tblGrid>
                              <w:gridCol w:w="1702"/>
                              <w:gridCol w:w="8448"/>
                            </w:tblGrid>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Not Classified</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Non classé</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Irrit. 2</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Irritation cutanée - Catégorie 2</w:t>
                                  </w:r>
                                </w:p>
                              </w:tc>
                            </w:tr>
                            <w:tr>
                              <w:trPr>
                                <w:trHeight w:val="216" w:hRule="atLeast"/>
                              </w:trPr>
                              <w:tc>
                                <w:tcPr>
                                  <w:tcW w:w="1696" w:type="dxa"/>
                                  <w:tcBorders>
                                    <w:top w:val="single" w:color="666666" w:sz="4"/>
                                    <w:left w:val="single" w:color="666666" w:sz="4"/>
                                    <w:bottom w:val="single" w:color="666666" w:sz="4"/>
                                    <w:right w:val="single" w:color="666666" w:sz="4"/>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Skin Sens. 1B</w:t>
                                  </w:r>
                                </w:p>
                              </w:tc>
                              <w:tc>
                                <w:tcPr>
                                  <w:tcW w:w="8444" w:type="dxa"/>
                                  <w:tcBorders>
                                    <w:top w:val="single" w:color="666666" w:sz="4"/>
                                    <w:left w:val="single" w:color="666666" w:sz="4"/>
                                    <w:bottom w:val="single" w:color="666666" w:sz="4"/>
                                    <w:right w:val="single" w:color="666666" w:sz="4"/>
                                  </w:tcBorders>
                                  <w:shd w:val="clear" w:color="auto" w:fill="FBFBFB"/>
                                  <w:tcMar>
                                    <w:top w:w="0" w:type="dxa"/>
                                    <w:left w:w="56" w:type="dxa"/>
                                    <w:bottom w:w="0"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Sensibilisation cutanée - Catégorie 1B</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882"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00" w:lineRule="exact"/>
                                    <w:jc w:val="left"/>
                                  </w:pPr>
                                  <w:r>
                                    <w:rPr>
                                      <w:rFonts w:ascii="Arial" w:hAnsi="Arial" w:cs="Arial"/>
                                      <w:b w:val="false"/>
                                      <w:i w:val="false"/>
                                      <w:strike w:val="false"/>
                                      <w:color w:val="000000"/>
                                      <w:spacing w:val="0"/>
                                      <w:sz w:val="20"/>
                                      <w:u w:val="none"/>
                                    </w:rPr>
                                    <w:t xml:space="preserve">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trPr>
                                <w:trHeight w:val="284" w:hRule="exact"/>
                              </w:trPr>
                              <w:tc>
                                <w:tcPr>
                                  <w:tcW w:w="-4" w:type="dxa"/>
                                  <w:gridSpan w:val="2"/>
                                  <w:tcBorders>
                                    <w:top w:val="nil" w:color="000000" w:sz="0"/>
                                    <w:left w:val="nil" w:color="000000" w:sz="0"/>
                                    <w:bottom w:val="nil" w:color="000000" w:sz="0"/>
                                    <w:right w:val="nil" w:color="000000" w:sz="0"/>
                                  </w:tcBorders>
                                  <w:tcMar>
                                    <w:top w:w="0" w:type="dxa"/>
                                    <w:left w:w="0" w:type="dxa"/>
                                    <w:bottom w:w="0" w:type="dxa"/>
                                    <w:right w:w="0" w:type="dxa"/>
                                  </w:tcMar>
                                </w:tcPr>
                                <w:p>
                                  <w:pPr>
                                    <w:spacing w:before="0" w:after="0" w:line="20" w:lineRule="atLeast"/>
                                    <w:jc w:val="left"/>
                                    <w:rPr>
                                      <w:sz w:val="4"/>
                                      <w:szCs w:val="4"/>
                                    </w:rPr>
                                  </w:pPr>
                                </w:p>
                              </w:tc>
                            </w:tr>
                            <w:tr>
                              <w:trPr>
                                <w:trHeight w:val="276" w:hRule="atLeast"/>
                              </w:trPr>
                              <w:tc>
                                <w:tcPr>
                                  <w:tcW w:w="10144" w:type="dxa"/>
                                  <w:gridSpan w:val="2"/>
                                  <w:tcBorders>
                                    <w:top w:val="nil" w:color="000000" w:sz="0"/>
                                    <w:left w:val="nil" w:color="000000" w:sz="0"/>
                                    <w:bottom w:val="nil" w:color="000000" w:sz="0"/>
                                    <w:right w:val="nil" w:color="000000" w:sz="0"/>
                                  </w:tcBorders>
                                  <w:shd w:val="clear" w:color="auto" w:fill="FBFBFB"/>
                                  <w:tcMar>
                                    <w:top w:w="28" w:type="dxa"/>
                                    <w:left w:w="56" w:type="dxa"/>
                                    <w:bottom w:w="28" w:type="dxa"/>
                                    <w:right w:w="56" w:type="dxa"/>
                                  </w:tcMar>
                                  <w:vAlign w:val="top"/>
                                </w:tcPr>
                                <w:p>
                                  <w:pPr>
                                    <w:spacing w:before="0" w:after="0" w:line="240" w:lineRule="exact"/>
                                    <w:jc w:val="center"/>
                                  </w:pPr>
                                  <w:r>
                                    <w:rPr>
                                      <w:rFonts w:ascii="Arial" w:hAnsi="Arial" w:cs="Arial"/>
                                      <w:b w:val="true"/>
                                      <w:i w:val="false"/>
                                      <w:strike w:val="false"/>
                                      <w:color w:val="000000"/>
                                      <w:spacing w:val="0"/>
                                      <w:sz w:val="24"/>
                                      <w:u w:val="none"/>
                                    </w:rPr>
                                    <w:t xml:space="preserve">*** *** ***</w:t>
                                  </w:r>
                                </w:p>
                              </w:tc>
                            </w:tr>
                          </w:tbl>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42" name="Rectangle 14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43" name="Rectangle 14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44" name="Rectangle 14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45" name="Rectangle 14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46" name="Rectangle 14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4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48" name="Rectangle 14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49" name="Rectangle 14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50" name="Rectangle 15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51" name="Rectangle 15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61720"/>
                <wp:effectExtent l="0" t="0" r="0" b="0"/>
                <wp:wrapNone/>
                <wp:docPr id="152" name="Rectangle 152"/>
                <wp:cNvGraphicFramePr/>
                <a:graphic xmlns:a="http://schemas.openxmlformats.org/drawingml/2006/main">
                  <a:graphicData uri="http://schemas.microsoft.com/office/word/2010/wordprocessingShape">
                    <wps:wsp>
                      <wps:cNvSpPr/>
                      <wps:spPr bwMode="auto">
                        <a:xfrm>
                          <a:off x="541800" y="1205640"/>
                          <a:ext cx="6508440" cy="8261720"/>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53" name="Rectangle 15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2/10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54" name="Rectangle 15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55" name="Rectangle 15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56" name="Rectangle 156"/>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57" name="Rectangle 157"/>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5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59" name="Rectangle 159"/>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60" name="Rectangle 16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61" name="Rectangle 16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62" name="Rectangle 16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01706"/>
                <wp:effectExtent l="0" t="0" r="0" b="0"/>
                <wp:wrapNone/>
                <wp:docPr id="163" name="Rectangle 163"/>
                <wp:cNvGraphicFramePr/>
                <a:graphic xmlns:a="http://schemas.openxmlformats.org/drawingml/2006/main">
                  <a:graphicData uri="http://schemas.microsoft.com/office/word/2010/wordprocessingShape">
                    <wps:wsp>
                      <wps:cNvSpPr/>
                      <wps:spPr bwMode="auto">
                        <a:xfrm>
                          <a:off x="541800" y="1205640"/>
                          <a:ext cx="6508440" cy="8401706"/>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64" name="Rectangle 16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3/10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65" name="Rectangle 16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66" name="Rectangle 16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67" name="Rectangle 167"/>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68" name="Rectangle 168"/>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6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70" name="Rectangle 170"/>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71" name="Rectangle 17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72" name="Rectangle 17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73" name="Rectangle 17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457336"/>
                <wp:effectExtent l="0" t="0" r="0" b="0"/>
                <wp:wrapNone/>
                <wp:docPr id="174" name="Rectangle 174"/>
                <wp:cNvGraphicFramePr/>
                <a:graphic xmlns:a="http://schemas.openxmlformats.org/drawingml/2006/main">
                  <a:graphicData uri="http://schemas.microsoft.com/office/word/2010/wordprocessingShape">
                    <wps:wsp>
                      <wps:cNvSpPr/>
                      <wps:spPr bwMode="auto">
                        <a:xfrm>
                          <a:off x="541800" y="1205640"/>
                          <a:ext cx="6508440" cy="8457336"/>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76" name="Rectangle 17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4/10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77" name="Rectangle 17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78" name="Rectangle 17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79" name="Rectangle 179"/>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80" name="Rectangle 180"/>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8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82" name="Rectangle 182"/>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83" name="Rectangle 18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84" name="Rectangle 18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85" name="Rectangle 18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39166"/>
                <wp:effectExtent l="0" t="0" r="0" b="0"/>
                <wp:wrapNone/>
                <wp:docPr id="186" name="Rectangle 186"/>
                <wp:cNvGraphicFramePr/>
                <a:graphic xmlns:a="http://schemas.openxmlformats.org/drawingml/2006/main">
                  <a:graphicData uri="http://schemas.microsoft.com/office/word/2010/wordprocessingShape">
                    <wps:wsp>
                      <wps:cNvSpPr/>
                      <wps:spPr bwMode="auto">
                        <a:xfrm>
                          <a:off x="541800" y="1205640"/>
                          <a:ext cx="6508440" cy="8339166"/>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87" name="Rectangle 187"/>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5/10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88" name="Rectangle 188"/>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189" name="Rectangle 189"/>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190" name="Rectangle 190"/>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191" name="Rectangle 191"/>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19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0">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193" name="Rectangle 193"/>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194" name="Rectangle 194"/>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195" name="Rectangle 195"/>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196" name="Rectangle 196"/>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91524"/>
                <wp:effectExtent l="0" t="0" r="0" b="0"/>
                <wp:wrapNone/>
                <wp:docPr id="197" name="Rectangle 197"/>
                <wp:cNvGraphicFramePr/>
                <a:graphic xmlns:a="http://schemas.openxmlformats.org/drawingml/2006/main">
                  <a:graphicData uri="http://schemas.microsoft.com/office/word/2010/wordprocessingShape">
                    <wps:wsp>
                      <wps:cNvSpPr/>
                      <wps:spPr bwMode="auto">
                        <a:xfrm>
                          <a:off x="541800" y="1205640"/>
                          <a:ext cx="6508440" cy="8391524"/>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198" name="Rectangle 198"/>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6/10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199" name="Rectangle 199"/>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00" name="Rectangle 200"/>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01" name="Rectangle 201"/>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02" name="Rectangle 202"/>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0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1">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04" name="Rectangle 204"/>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05" name="Rectangle 205"/>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06" name="Rectangle 206"/>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07" name="Rectangle 207"/>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282080"/>
                <wp:effectExtent l="0" t="0" r="0" b="0"/>
                <wp:wrapNone/>
                <wp:docPr id="208" name="Rectangle 208"/>
                <wp:cNvGraphicFramePr/>
                <a:graphic xmlns:a="http://schemas.openxmlformats.org/drawingml/2006/main">
                  <a:graphicData uri="http://schemas.microsoft.com/office/word/2010/wordprocessingShape">
                    <wps:wsp>
                      <wps:cNvSpPr/>
                      <wps:spPr bwMode="auto">
                        <a:xfrm>
                          <a:off x="541800" y="1205640"/>
                          <a:ext cx="6508440" cy="8282080"/>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09" name="Rectangle 209"/>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7/10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10" name="Rectangle 210"/>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11" name="Rectangle 211"/>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12" name="Rectangle 212"/>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13" name="Rectangle 213"/>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1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2">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15" name="Rectangle 215"/>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16" name="Rectangle 216"/>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17" name="Rectangle 217"/>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18" name="Rectangle 218"/>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31166"/>
                <wp:effectExtent l="0" t="0" r="0" b="0"/>
                <wp:wrapNone/>
                <wp:docPr id="219" name="Rectangle 219"/>
                <wp:cNvGraphicFramePr/>
                <a:graphic xmlns:a="http://schemas.openxmlformats.org/drawingml/2006/main">
                  <a:graphicData uri="http://schemas.microsoft.com/office/word/2010/wordprocessingShape">
                    <wps:wsp>
                      <wps:cNvSpPr/>
                      <wps:spPr bwMode="auto">
                        <a:xfrm>
                          <a:off x="541800" y="1205640"/>
                          <a:ext cx="6508440" cy="8331166"/>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20" name="Rectangle 22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8/10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21" name="Rectangle 22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22" name="Rectangle 22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23" name="Rectangle 223"/>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24" name="Rectangle 224"/>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2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26" name="Rectangle 226"/>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27" name="Rectangle 22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28" name="Rectangle 22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29" name="Rectangle 22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8338802"/>
                <wp:effectExtent l="0" t="0" r="0" b="0"/>
                <wp:wrapNone/>
                <wp:docPr id="230" name="Rectangle 230"/>
                <wp:cNvGraphicFramePr/>
                <a:graphic xmlns:a="http://schemas.openxmlformats.org/drawingml/2006/main">
                  <a:graphicData uri="http://schemas.microsoft.com/office/word/2010/wordprocessingShape">
                    <wps:wsp>
                      <wps:cNvSpPr/>
                      <wps:spPr bwMode="auto">
                        <a:xfrm>
                          <a:off x="541800" y="1205640"/>
                          <a:ext cx="6508440" cy="8338802"/>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31" name="Rectangle 23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9/10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32" name="Rectangle 23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33" name="Rectangle 23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34" name="Rectangle 234"/>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35" name="Rectangle 235"/>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3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37" name="Rectangle 237"/>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38" name="Rectangle 23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39" name="Rectangle 23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40" name="Rectangle 24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br w:type="page"/>
      </w:r>
    </w:p>
    <w:p>
      <w:pPr>
        <w:rPr>
          <w:lang w:val="en-US"/>
        </w:rPr>
      </w:pPr>
      <w:r>
        <w:rPr>
          <w:noProof/>
          <w:lang w:eastAsia="de-DE"/>
        </w:rPr>
        <mc:AlternateContent>
          <mc:Choice Requires="wps">
            <w:drawing>
              <wp:anchor distT="0" distB="0" distL="0" distR="0" simplePos="0" relativeHeight="0" behindDoc="0" locked="0" layoutInCell="1" allowOverlap="1">
                <wp:simplePos x="0" y="0"/>
                <wp:positionH relativeFrom="page">
                  <wp:posOffset>541800</wp:posOffset>
                </wp:positionH>
                <wp:positionV relativeFrom="page">
                  <wp:posOffset>1205640</wp:posOffset>
                </wp:positionV>
                <wp:extent cx="6508440" cy="1734372"/>
                <wp:effectExtent l="0" t="0" r="0" b="0"/>
                <wp:wrapNone/>
                <wp:docPr id="241" name="Rectangle 241"/>
                <wp:cNvGraphicFramePr/>
                <a:graphic xmlns:a="http://schemas.openxmlformats.org/drawingml/2006/main">
                  <a:graphicData uri="http://schemas.microsoft.com/office/word/2010/wordprocessingShape">
                    <wps:wsp>
                      <wps:cNvSpPr/>
                      <wps:spPr bwMode="auto">
                        <a:xfrm>
                          <a:off x="541800" y="1205640"/>
                          <a:ext cx="6508440" cy="1734372"/>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5943240</wp:posOffset>
                </wp:positionH>
                <wp:positionV relativeFrom="page">
                  <wp:posOffset>9892800</wp:posOffset>
                </wp:positionV>
                <wp:extent cx="1076760" cy="140040"/>
                <wp:effectExtent l="0" t="0" r="0" b="0"/>
                <wp:wrapNone/>
                <wp:docPr id="242" name="Rectangle 24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pPr>
                              <w:spacing w:before="0" w:after="0" w:line="200" w:lineRule="exact"/>
                              <w:jc w:val="right"/>
                            </w:pPr>
                            <w:r>
                              <w:rPr>
                                <w:rFonts w:ascii="Arial" w:hAnsi="Arial" w:cs="Arial"/>
                                <w:b w:val="false"/>
                                <w:i w:val="false"/>
                                <w:strike w:val="false"/>
                                <w:color w:val="000000"/>
                                <w:spacing w:val="0"/>
                                <w:sz w:val="20"/>
                                <w:u w:val="none"/>
                              </w:rPr>
                              <w:t xml:space="preserve">10/10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9892800</wp:posOffset>
                </wp:positionV>
                <wp:extent cx="2357280" cy="140040"/>
                <wp:effectExtent l="0" t="0" r="0" b="0"/>
                <wp:wrapNone/>
                <wp:docPr id="243" name="Rectangle 24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pPr>
                              <w:spacing w:before="0" w:after="0" w:line="200" w:lineRule="exact"/>
                              <w:jc w:val="left"/>
                            </w:pPr>
                            <w:r>
                              <w:rPr>
                                <w:rFonts w:ascii="Arial" w:hAnsi="Arial" w:cs="Arial"/>
                                <w:b w:val="false"/>
                                <w:i w:val="false"/>
                                <w:strike w:val="false"/>
                                <w:color w:val="000000"/>
                                <w:spacing w:val="0"/>
                                <w:sz w:val="20"/>
                                <w:u w:val="none"/>
                              </w:rPr>
                              <w:t xml:space="preserve">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878400</wp:posOffset>
                </wp:positionV>
                <wp:extent cx="6480000" cy="204120"/>
                <wp:effectExtent l="0" t="0" r="0" b="0"/>
                <wp:wrapNone/>
                <wp:docPr id="244" name="Rectangle 24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pPr>
                              <w:spacing w:before="0" w:after="0" w:line="280" w:lineRule="exact"/>
                              <w:jc w:val="center"/>
                            </w:pPr>
                            <w:r>
                              <w:rPr>
                                <w:rFonts w:ascii="Arial" w:hAnsi="Arial" w:cs="Arial"/>
                                <w:b w:val="true"/>
                                <w:i w:val="false"/>
                                <w:strike w:val="false"/>
                                <w:color w:val="000000"/>
                                <w:spacing w:val="0"/>
                                <w:sz w:val="28"/>
                                <w:u w:val="none"/>
                              </w:rPr>
                              <w:t xml:space="preserve">FDS - Sunshake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856800</wp:posOffset>
                </wp:positionV>
                <wp:extent cx="6501600" cy="0"/>
                <wp:effectExtent l="0" t="0" r="0" b="0"/>
                <wp:wrapNone/>
                <wp:docPr id="245" name="Rectangle 245"/>
                <wp:cNvGraphicFramePr/>
                <a:graphic xmlns:a="http://schemas.openxmlformats.org/drawingml/2006/main">
                  <a:graphicData uri="http://schemas.microsoft.com/office/word/2010/wordprocessingShape">
                    <wps:wsp>
                      <wps:cNvSpPr/>
                      <wps:spPr bwMode="auto">
                        <a:xfrm>
                          <a:off x="540000" y="8568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9752400</wp:posOffset>
                </wp:positionV>
                <wp:extent cx="6501600" cy="0"/>
                <wp:effectExtent l="0" t="0" r="0" b="0"/>
                <wp:wrapNone/>
                <wp:docPr id="246" name="Rectangle 246"/>
                <wp:cNvGraphicFramePr/>
                <a:graphic xmlns:a="http://schemas.openxmlformats.org/drawingml/2006/main">
                  <a:graphicData uri="http://schemas.microsoft.com/office/word/2010/wordprocessingShape">
                    <wps:wsp>
                      <wps:cNvSpPr/>
                      <wps:spPr bwMode="auto">
                        <a:xfrm>
                          <a:off x="540000" y="97524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sz w:val="2"/>
        </w:rPr>
        <w:drawing>
          <wp:anchor distT="0" distB="0" distL="0" distR="0" simplePos="0" relativeHeight="251659264" behindDoc="1" locked="0" layoutInCell="1" allowOverlap="1">
            <wp:simplePos x="0" y="0"/>
            <wp:positionH relativeFrom="page">
              <wp:posOffset>3173400</wp:posOffset>
            </wp:positionH>
            <wp:positionV relativeFrom="page">
              <wp:posOffset>71280</wp:posOffset>
            </wp:positionV>
            <wp:extent cx="1114920" cy="743040"/>
            <wp:effectExtent l="0" t="0" r="0" b="0"/>
            <wp:wrapTight wrapText="bothSides">
              <wp:wrapPolygon edited="0">
                <wp:start x="0" y="0"/>
                <wp:lineTo x="0" y="0"/>
                <wp:lineTo x="0" y="0"/>
                <wp:lineTo x="0" y="0"/>
                <wp:lineTo x="0" y="0"/>
              </wp:wrapPolygon>
            </wp:wrapTight>
            <wp:docPr id="24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extLst>
                        <a:ext uri="{28A0092B-C50C-407E-A947-70E740481C1C}">
                          <a14:useLocalDpi xmlns:a14="http://schemas.microsoft.com/office/drawing/2010/main" val="0"/>
                        </a:ext>
                      </a:extLst>
                    </a:blip>
                    <a:stretch>
                      <a:fillRect/>
                    </a:stretch>
                  </pic:blipFill>
                  <pic:spPr>
                    <a:xfrm>
                      <a:off x="0" y="0"/>
                      <a:ext cx="1114920" cy="743040"/>
                    </a:xfrm>
                    <a:prstGeom prst="rect">
                      <a:avLst/>
                    </a:prstGeom>
                  </pic:spPr>
                </pic:pic>
              </a:graphicData>
            </a:graphic>
          </wp:anchor>
        </w:drawing>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1087200</wp:posOffset>
                </wp:positionV>
                <wp:extent cx="6501600" cy="0"/>
                <wp:effectExtent l="0" t="0" r="0" b="0"/>
                <wp:wrapNone/>
                <wp:docPr id="248" name="Rectangle 248"/>
                <wp:cNvGraphicFramePr/>
                <a:graphic xmlns:a="http://schemas.openxmlformats.org/drawingml/2006/main">
                  <a:graphicData uri="http://schemas.microsoft.com/office/word/2010/wordprocessingShape">
                    <wps:wsp>
                      <wps:cNvSpPr/>
                      <wps:spPr bwMode="auto">
                        <a:xfrm>
                          <a:off x="540000" y="1087200"/>
                          <a:ext cx="6501600" cy="0"/>
                        </a:xfrm>
                        <a:prstGeom prst="line">
                          <a:avLst/>
                        </a:prstGeom>
                        <a:ln w="18000" cap="sq" cmpd="sng">
                          <a:solidFill>
                            <a:srgbClr val="606060"/>
                          </a:solidFill>
                          <a:miter lim="800000"/>
                        </a:ln>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5311800</wp:posOffset>
                </wp:positionH>
                <wp:positionV relativeFrom="page">
                  <wp:posOffset>204840</wp:posOffset>
                </wp:positionV>
                <wp:extent cx="1700640" cy="231480"/>
                <wp:effectExtent l="0" t="0" r="0" b="0"/>
                <wp:wrapNone/>
                <wp:docPr id="249" name="Rectangle 24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pPr>
                              <w:spacing w:before="0" w:after="0" w:line="160" w:lineRule="exact"/>
                              <w:jc w:val="right"/>
                            </w:pPr>
                            <w:r>
                              <w:rPr>
                                <w:rFonts w:ascii="Arial" w:hAnsi="Arial" w:cs="Arial"/>
                                <w:b w:val="false"/>
                                <w:i w:val="false"/>
                                <w:strike w:val="false"/>
                                <w:color w:val="000000"/>
                                <w:spacing w:val="0"/>
                                <w:sz w:val="16"/>
                                <w:u w:val="none"/>
                              </w:rPr>
                              <w:t xml:space="preserve">Version : 1</w:t>
                            </w:r>
                          </w:p>
                          <w:p>
                            <w:pPr>
                              <w:spacing w:before="0" w:after="0" w:line="160" w:lineRule="exact"/>
                              <w:jc w:val="right"/>
                            </w:pPr>
                            <w:r>
                              <w:rPr>
                                <w:rFonts w:ascii="Arial" w:hAnsi="Arial" w:cs="Arial"/>
                                <w:b w:val="false"/>
                                <w:i w:val="false"/>
                                <w:strike w:val="false"/>
                                <w:color w:val="000000"/>
                                <w:spacing w:val="0"/>
                                <w:sz w:val="16"/>
                                <w:u w:val="none"/>
                              </w:rPr>
                              <w:t xml:space="preserve">Date d'émission : 04/06/2026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3261240</wp:posOffset>
                </wp:positionH>
                <wp:positionV relativeFrom="page">
                  <wp:posOffset>10319040</wp:posOffset>
                </wp:positionV>
                <wp:extent cx="1076760" cy="118800"/>
                <wp:effectExtent l="0" t="0" r="0" b="0"/>
                <wp:wrapNone/>
                <wp:docPr id="250" name="Rectangle 25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pPr>
                              <w:spacing w:before="0" w:after="0" w:line="160" w:lineRule="exact"/>
                              <w:jc w:val="center"/>
                            </w:pPr>
                            <w:r>
                              <w:rPr>
                                <w:rFonts w:ascii="Arial" w:hAnsi="Arial" w:cs="Arial"/>
                                <w:b w:val="true"/>
                                <w:i w:val="false"/>
                                <w:strike w:val="false"/>
                                <w:color w:val="000000"/>
                                <w:spacing w:val="0"/>
                                <w:sz w:val="16"/>
                                <w:u w:val="single"/>
                              </w:rPr>
                              <w:t xml:space="preserve">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r>
        <w:rPr>
          <w:noProof/>
          <w:lang w:eastAsia="de-DE"/>
        </w:rPr>
        <mc:AlternateContent>
          <mc:Choice Requires="wps">
            <w:drawing>
              <wp:anchor distT="0" distB="0" distL="0" distR="0" simplePos="0" relativeHeight="0" behindDoc="0" locked="0" layoutInCell="1" allowOverlap="1">
                <wp:simplePos x="0" y="0"/>
                <wp:positionH relativeFrom="page">
                  <wp:posOffset>540000</wp:posOffset>
                </wp:positionH>
                <wp:positionV relativeFrom="page">
                  <wp:posOffset>204840</wp:posOffset>
                </wp:positionV>
                <wp:extent cx="2004840" cy="240480"/>
                <wp:effectExtent l="0" t="0" r="0" b="0"/>
                <wp:wrapNone/>
                <wp:docPr id="251" name="Rectangle 25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pPr>
                              <w:spacing w:before="0" w:after="0" w:line="180" w:lineRule="exact"/>
                              <w:jc w:val="left"/>
                            </w:pPr>
                            <w:r>
                              <w:rPr>
                                <w:rFonts w:ascii="Arial" w:hAnsi="Arial" w:cs="Arial"/>
                                <w:b w:val="false"/>
                                <w:i w:val="false"/>
                                <w:strike w:val="false"/>
                                <w:color w:val="000000"/>
                                <w:spacing w:val="0"/>
                                <w:sz w:val="18"/>
                                <w:u w:val="single"/>
                              </w:rPr>
                              <w:t xml:space="preserve">Fiche de données de sécurité</w:t>
                            </w:r>
                          </w:p>
                          <w:p>
                            <w:pPr>
                              <w:spacing w:before="0" w:after="0" w:line="160" w:lineRule="exact"/>
                              <w:jc w:val="left"/>
                            </w:pPr>
                            <w:r>
                              <w:rPr>
                                <w:rFonts w:ascii="Arial" w:hAnsi="Arial" w:cs="Arial"/>
                                <w:b w:val="false"/>
                                <w:i w:val="false"/>
                                <w:strike w:val="false"/>
                                <w:color w:val="000000"/>
                                <w:spacing w:val="0"/>
                                <w:sz w:val="16"/>
                                <w:u w:val="none"/>
                              </w:rPr>
                              <w:t xml:space="preserve">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AlternateContent>
      </w:r>
    </w:p>
    <w:sectPr>
      <w:pgSz w:w="11906" w:h="16838" w:orient="portrait"/>
      <w:pgMar w:top="0" w:right="0" w:bottom="0" w:left="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3EA"/>
    <w:rsid w:val="00124B35"/>
    <w:rsid w:val="006C6556"/>
    <w:rsid w:val="00931FC8"/>
    <w:rsid w:val="00B003A3"/>
    <w:rsid w:val="00C173EA"/>
    <w:rsid w:val="00D36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de-DE" w:eastAsia="de-DE"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pPr>
      <w:spacing w:after="160" w:line="259" w:lineRule="auto"/>
    </w:pPr>
    <w:rPr>
      <w:sz w:val="22"/>
      <w:szCs w:val="22"/>
      <w:lang w:eastAsia="en-U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Id915" /><Relationship Type="http://schemas.openxmlformats.org/officeDocument/2006/relationships/image" Target="/media/image2.jpg" Id="rId916" /><Relationship Type="http://schemas.openxmlformats.org/officeDocument/2006/relationships/image" Target="/media/image3.jpg" Id="rId917" /><Relationship Type="http://schemas.openxmlformats.org/officeDocument/2006/relationships/image" Target="/media/image4.jpg" Id="rId918" /><Relationship Type="http://schemas.openxmlformats.org/officeDocument/2006/relationships/image" Target="/media/image5.jpg" Id="rId919" /><Relationship Type="http://schemas.openxmlformats.org/officeDocument/2006/relationships/image" Target="/media/image6.jpg" Id="rId920" /><Relationship Type="http://schemas.openxmlformats.org/officeDocument/2006/relationships/image" Target="/media/image7.jpg" Id="rId921" /><Relationship Type="http://schemas.openxmlformats.org/officeDocument/2006/relationships/image" Target="/media/image8.jpg" Id="rId922" /><Relationship Type="http://schemas.openxmlformats.org/officeDocument/2006/relationships/image" Target="/media/image9.jpg" Id="rId923" /><Relationship Type="http://schemas.openxmlformats.org/officeDocument/2006/relationships/image" Target="/media/image10.jpg" Id="rId924" /><Relationship Type="http://schemas.openxmlformats.org/officeDocument/2006/relationships/image" Target="/media/image11.jpg" Id="rId92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