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97dc83978b240a8" /><Relationship Type="http://schemas.openxmlformats.org/package/2006/relationships/metadata/core-properties" Target="/package/services/metadata/core-properties/d14b2b3c03d44b2384bc8b6e2b47bc4f.psmdcp" Id="R34762267aab14a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Blanche Violette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Casa loca</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[1R-(1α,2α,5β,8β)]-4,4,8-trimethyltricyclo[6.3.1.02,5]dodecan-1-yl acetate (57082-24-3) | [3R-(3α,3aβ,6α,7β,8aα)]-octahydro-3,6,8,8-tetramethyl-1H-3a,7-methanoazulen-5-yl acetate liquide 25% (77-54-3) | 3-methyl-4-(2,6,6-trimethyl-2-cyclohexen-1-yl)-3-buten-2-one (127-51-5) | linalol; 3,7-diméthyl-1,6- octadién-3-ol; dl-linalol (78-70-6) | Linalyl acetate (115-95-7) | α-hexylcinnamaldehyde (101-86-0)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1,2164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[1R-(1α,2α,5β,8β)]-4,4,8-trime thyltricyclo[6.3.1.02,5]dodeca n-1-yl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57082-24-3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260-555-1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bl>
                          <w:tbl>
                            <w:tblPr>
                              <w:tblLayout w:type="fixed"/>
                              <w:tblInd w:w="0" w:type="dxa"/>
                              <w:tblCellMar>
                                <w:left w:w="0" w:type="dxa"/>
                                <w:right w:w="0" w:type="dxa"/>
                              </w:tblCellMar>
                            </w:tblPr>
                            <w:tblGrid>
                              <w:gridCol w:w="2552"/>
                              <w:gridCol w:w="2552"/>
                              <w:gridCol w:w="2552"/>
                              <w:gridCol w:w="2494"/>
                            </w:tblGrid>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07/05/2026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4984"/>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34498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87544"/>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18754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896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3174"/>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26317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23552"/>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1235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289590"/>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228959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Blanche Violette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07/05/2026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