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1771ac21944b3e" /><Relationship Type="http://schemas.openxmlformats.org/package/2006/relationships/metadata/core-properties" Target="/package/services/metadata/core-properties/272b7a0bf21c461fae227f197eeadc7c.psmdcp" Id="R8c6187efaade4f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Gourmandise D'antan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Hexyl salicylate (6259-76-3) | Salicylate de benzyle (118-58-1) | cis-4-(isopropyl)cyclohexanemethanol (13828-37-0) | 3-p-cumenyl-2-methylpropionaldehyde (103-95-7) | 7-hydroxycitronellal (107-75-5)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cis-4-(isopropyl)cyclohexane methanol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13828-37-0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237-539-8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3-p-cumenyl-2-methylpropion 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203-161-7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16/04/2026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bl>
                          <w:tbl>
                            <w:tblPr>
                              <w:tblLayout w:type="fixed"/>
                              <w:tblInd w:w="0" w:type="dxa"/>
                              <w:tblCellMar>
                                <w:left w:w="0" w:type="dxa"/>
                                <w:right w:w="0" w:type="dxa"/>
                              </w:tblCellMar>
                            </w:tblPr>
                            <w:tblGrid>
                              <w:gridCol w:w="10150"/>
                            </w:tblGrid>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5482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15482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898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3289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25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5225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080"/>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2820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0246"/>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4402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1514"/>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4915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13434"/>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21343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