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b1b9fe864d54ee3" /><Relationship Type="http://schemas.openxmlformats.org/package/2006/relationships/metadata/core-properties" Target="/package/services/metadata/core-properties/2d3bbc6e5d0547b7bffb5796b6c05c30.psmdcp" Id="R503c05724d4147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Creme de pêche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(R)-p-mentha-1,8-diène (5989-27-5) | linalol; 3,7-diméthyl-1,6- octadién-3-ol; dl-linalol (78-70-6) | Citronellol (106-22-9)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0,25305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0,10521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0,10206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bl>
                          <w:tbl>
                            <w:tblPr>
                              <w:tblLayout w:type="fixed"/>
                              <w:tblInd w:w="0" w:type="dxa"/>
                              <w:tblCellMar>
                                <w:left w:w="0" w:type="dxa"/>
                                <w:right w:w="0" w:type="dxa"/>
                              </w:tblCellMar>
                            </w:tblPr>
                            <w:tblGrid>
                              <w:gridCol w:w="2836"/>
                              <w:gridCol w:w="7314"/>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15/04/2026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6628"/>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25662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6434"/>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38643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7348"/>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33734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154"/>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46315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242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46242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7522"/>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407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788"/>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686340"/>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568634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