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e9c2d6370aec484d" /><Relationship Type="http://schemas.openxmlformats.org/package/2006/relationships/metadata/core-properties" Target="/package/services/metadata/core-properties/b400a8f0273144c7a2f6bb3b9f13981c.psmdcp" Id="R7215a11eb3e0497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91898"/>
                <wp:effectExtent l="0" t="0" r="0" b="0"/>
                <wp:wrapNone/>
                <wp:docPr id="1" name="Rectangle 1"/>
                <wp:cNvGraphicFramePr/>
                <a:graphic xmlns:a="http://schemas.openxmlformats.org/drawingml/2006/main">
                  <a:graphicData uri="http://schemas.microsoft.com/office/word/2010/wordprocessingShape">
                    <wps:wsp>
                      <wps:cNvSpPr/>
                      <wps:spPr bwMode="auto">
                        <a:xfrm>
                          <a:off x="541800" y="1205640"/>
                          <a:ext cx="6508440" cy="8291898"/>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2608"/>
                              <w:gridCol w:w="448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 Clochette sucrée 10%</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 Sublimatelier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-Sublimatelier</w:t>
                                  </w:r>
                                </w:p>
                                <w:p>
                                  <w:pPr>
                                    <w:spacing w:before="0" w:after="0" w:line="200" w:lineRule="exact"/>
                                    <w:jc w:val="left"/>
                                  </w:pPr>
                                  <w:r>
                                    <w:rPr>
                                      <w:rFonts w:ascii="Arial" w:hAnsi="Arial" w:cs="Arial"/>
                                      <w:b w:val="false"/>
                                      <w:i w:val="false"/>
                                      <w:strike w:val="false"/>
                                      <w:color w:val="000000"/>
                                      <w:spacing w:val="0"/>
                                      <w:sz w:val="20"/>
                                      <w:u w:val="none"/>
                                    </w:rPr>
                                    <w:t xml:space="preserve">214 rue gornet boivin</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 France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p>
                                  <w:pPr>
                                    <w:spacing w:before="0" w:after="0" w:line="200" w:lineRule="exact"/>
                                    <w:jc w:val="left"/>
                                  </w:pPr>
                                  <w:r>
                                    <w:rPr>
                                      <w:rFonts w:ascii="Arial" w:hAnsi="Arial" w:cs="Arial"/>
                                      <w:b w:val="false"/>
                                      <w:i w:val="false"/>
                                      <w:strike w:val="false"/>
                                      <w:color w:val="000000"/>
                                      <w:spacing w:val="0"/>
                                      <w:sz w:val="20"/>
                                      <w:u w:val="none"/>
                                    </w:rPr>
                                    <w:t xml:space="preserve">Site web www.sublimatelier.fr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759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093"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EUH208</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cinnamaldéhyde; 3-phénylprop- 2-énal; aldéhyde cinnamique; cinnamal; (104-55-2) | trans-hex-2-enal (6728-26-3) | Citronellol (106-22-9) | 7-hydroxycitronellal (107-75-5) | 3,7-dimethylnona-1,6-dien-3-ol (10339-55-6) | 1-(1,2,3,4,5,6,7,8-octahydro-2,3,8,8-tetramethyl-2-naphthyl)ethan-1-one (54464-57-2) . Peut produire une réaction allergique.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bl>
                          <w:tbl>
                            <w:tblPr>
                              <w:tblLayout w:type="fixed"/>
                              <w:tblInd w:w="0" w:type="dxa"/>
                              <w:tblCellMar>
                                <w:left w:w="0" w:type="dxa"/>
                                <w:right w:w="0" w:type="dxa"/>
                              </w:tblCellMar>
                            </w:tblPr>
                            <w:tblGrid>
                              <w:gridCol w:w="2268"/>
                              <w:gridCol w:w="568"/>
                              <w:gridCol w:w="1702"/>
                              <w:gridCol w:w="1078"/>
                              <w:gridCol w:w="2268"/>
                              <w:gridCol w:w="2268"/>
                            </w:tblGrid>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2-phenylethanol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60-12-8</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200-456-2</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1,2505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7-hydroxycitronellal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107-75-5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203-518-7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0,4</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Citronellol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106-22-9</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203-375-0</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0,3015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Allyl heptanoate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142-19-8</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205-527-1</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0,162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3 Dermal - H311</w:t>
                                  </w:r>
                                </w:p>
                                <w:p>
                                  <w:pPr>
                                    <w:spacing w:before="0" w:after="0" w:line="160" w:lineRule="exact"/>
                                    <w:jc w:val="left"/>
                                  </w:pPr>
                                  <w:r>
                                    <w:rPr>
                                      <w:rFonts w:ascii="Arial" w:hAnsi="Arial" w:cs="Arial"/>
                                      <w:b w:val="false"/>
                                      <w:i w:val="false"/>
                                      <w:strike w:val="false"/>
                                      <w:color w:val="000000"/>
                                      <w:spacing w:val="0"/>
                                      <w:sz w:val="16"/>
                                      <w:u w:val="none"/>
                                    </w:rPr>
                                    <w:t xml:space="preserve">Acute Tox. 3 Oral - H301</w:t>
                                  </w:r>
                                </w:p>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Facteur M: 10 / 10</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1-(1,2,3,4,5,6,7,8-octahydro-2 ,3,8,8-tetramethyl-2-naphthyl) ethan-1-one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54464-57-2</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259-174-3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rPr>
                                      <w:spacing w:val="-20"/>
                                    </w:rPr>
                                  </w:pPr>
                                  <w:r>
                                    <w:rPr>
                                      <w:rFonts w:ascii="Arial" w:hAnsi="Arial" w:cs="Arial"/>
                                      <w:b w:val="false"/>
                                      <w:i w:val="false"/>
                                      <w:strike w:val="false"/>
                                      <w:color w:val="000000"/>
                                      <w:spacing w:val="-4"/>
                                      <w:sz w:val="16"/>
                                      <w:u w:val="none"/>
                                    </w:rPr>
                                    <w:t xml:space="preserve">3,7-dimethylnona-1,6-dien-3-ol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10339-55-6</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233-732-6</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0,125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106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trans-hex-2-enal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6728-26-3</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229-778-1</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0,0165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3 Dermal - H311</w:t>
                                  </w:r>
                                </w:p>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Flam. Liq. 3 - H226</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1A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cinnamaldéhyde; 3-phénylprop- 2-énal; aldéhyde cinnamique; cinnamal;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104-55-2</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606-155-00-6</w:t>
                                  </w:r>
                                </w:p>
                                <w:p>
                                  <w:pPr>
                                    <w:spacing w:before="0" w:after="0" w:line="160" w:lineRule="exact"/>
                                    <w:jc w:val="left"/>
                                  </w:pPr>
                                  <w:r>
                                    <w:rPr>
                                      <w:rFonts w:ascii="Arial" w:hAnsi="Arial" w:cs="Arial"/>
                                      <w:b w:val="false"/>
                                      <w:i w:val="false"/>
                                      <w:strike w:val="false"/>
                                      <w:color w:val="000000"/>
                                      <w:spacing w:val="0"/>
                                      <w:sz w:val="16"/>
                                      <w:u w:val="none"/>
                                    </w:rPr>
                                    <w:t xml:space="preserve">N°CE : 203-213-9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0,004725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1A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Skin Sens. 1 - H317 : 0,01&lt;=%&lt;100</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de l'air frais.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immédiatement soigneusement et abondamment avec un bain oculaire ou de l'eau.</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d'ingestion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bl>
                          <w:tbl>
                            <w:tblPr>
                              <w:tblLayout w:type="fixed"/>
                              <w:tblInd w:w="0" w:type="dxa"/>
                              <w:tblCellMar>
                                <w:left w:w="0" w:type="dxa"/>
                                <w:right w:w="0" w:type="dxa"/>
                              </w:tblCellMar>
                            </w:tblPr>
                            <w:tblGrid>
                              <w:gridCol w:w="2836"/>
                              <w:gridCol w:w="7314"/>
                            </w:tblGrid>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Brouillard d'eau</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Adaptez les mesures de lutte contre l'incendie aux environs de l'incendie.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une ventilation adéquate.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une ventilation adéquate.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sans poussière et déposer sans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Utilisez un aspirateur industriel agréé pour l'enlèvement.</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bl>
                          <w:tbl>
                            <w:tblPr>
                              <w:tblLayout w:type="fixed"/>
                              <w:tblInd w:w="0" w:type="dxa"/>
                              <w:tblCellMar>
                                <w:left w:w="0" w:type="dxa"/>
                                <w:right w:w="0" w:type="dxa"/>
                              </w:tblCellMar>
                            </w:tblPr>
                            <w:tblGrid>
                              <w:gridCol w:w="2552"/>
                              <w:gridCol w:w="284"/>
                              <w:gridCol w:w="2268"/>
                              <w:gridCol w:w="2552"/>
                              <w:gridCol w:w="568"/>
                              <w:gridCol w:w="1928"/>
                            </w:tblGrid>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Conserver/stocker uniquement dans le récipient d'origine.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Lunettes de sécurité anti-poussière.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3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18">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&lt; 100 °C</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5104"/>
                              <w:gridCol w:w="5046"/>
                            </w:tblGrid>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Stable dans les conditions de stockage et de manipulation recommandées.</w:t>
                                  </w:r>
                                </w:p>
                              </w:tc>
                            </w:tr>
                          </w:tbl>
                          <w:tbl>
                            <w:tblPr>
                              <w:tblLayout w:type="fixed"/>
                              <w:tblInd w:w="0" w:type="dxa"/>
                              <w:tblCellMar>
                                <w:left w:w="0" w:type="dxa"/>
                                <w:right w:w="0" w:type="dxa"/>
                              </w:tblCellMar>
                            </w:tblPr>
                            <w:tblGrid>
                              <w:gridCol w:w="2836"/>
                              <w:gridCol w:w="4536"/>
                              <w:gridCol w:w="2778"/>
                            </w:tblGrid>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bl>
                          <w:tbl>
                            <w:tblPr>
                              <w:tblLayout w:type="fixed"/>
                              <w:tblInd w:w="0" w:type="dxa"/>
                              <w:tblCellMar>
                                <w:left w:w="0" w:type="dxa"/>
                                <w:right w:w="0" w:type="dxa"/>
                              </w:tblCellMar>
                            </w:tblPr>
                            <w:tblGrid>
                              <w:gridCol w:w="2836"/>
                              <w:gridCol w:w="2268"/>
                              <w:gridCol w:w="5046"/>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n'est pas applicable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bl>
                          <w:tbl>
                            <w:tblPr>
                              <w:tblLayout w:type="fixed"/>
                              <w:tblInd w:w="0" w:type="dxa"/>
                              <w:tblCellMar>
                                <w:left w:w="0" w:type="dxa"/>
                                <w:right w:w="0" w:type="dxa"/>
                              </w:tblCellMar>
                            </w:tblPr>
                            <w:tblGrid>
                              <w:gridCol w:w="964"/>
                              <w:gridCol w:w="1248"/>
                              <w:gridCol w:w="624"/>
                              <w:gridCol w:w="568"/>
                              <w:gridCol w:w="1078"/>
                              <w:gridCol w:w="5670"/>
                            </w:tblGrid>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94"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324"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3"/>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01/04/2026</w:t>
                                  </w:r>
                                </w:p>
                              </w:tc>
                              <w:tc>
                                <w:tcPr>
                                  <w:tcW w:w="2264" w:type="dxa"/>
                                  <w:gridSpan w:val="3"/>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bl>
                          <w:tbl>
                            <w:tblPr>
                              <w:tblLayout w:type="fixed"/>
                              <w:tblInd w:w="0" w:type="dxa"/>
                              <w:tblCellMar>
                                <w:left w:w="0" w:type="dxa"/>
                                <w:right w:w="0" w:type="dxa"/>
                              </w:tblCellMar>
                            </w:tblPr>
                            <w:tblGrid>
                              <w:gridCol w:w="1702"/>
                              <w:gridCol w:w="1702"/>
                              <w:gridCol w:w="6748"/>
                            </w:tblGrid>
                            <w:tr>
                              <w:trPr>
                                <w:trHeight w:val="44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r>
                              <w:trPr>
                                <w:trHeight w:val="44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7"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3 Dermal</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(dermique) - Catégorie 3</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3 Oral</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voie orale) - Catégorie 3</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Oral</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voie orale) - Catégorie 4</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Acute 1</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Acute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1</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Irrit. 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oculaire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Flam. Liq. 3</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Liquide et vapeurs inflammables. - Catégorie 3</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H317</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provoquer une allergie cutanée.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Irrit. 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cutanée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1A</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1A</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1B</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1B</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6"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 name="Rectangle 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 name="Rectangle 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 name="Rectangle 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Clochette sucrée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 name="Rectangle 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 name="Rectangle 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5">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8" name="Rectangle 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9" name="Rectangle 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01/04/2026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0" name="Rectangle 1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1" name="Rectangle 1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97332"/>
                <wp:effectExtent l="0" t="0" r="0" b="0"/>
                <wp:wrapNone/>
                <wp:docPr id="12" name="Rectangle 12"/>
                <wp:cNvGraphicFramePr/>
                <a:graphic xmlns:a="http://schemas.openxmlformats.org/drawingml/2006/main">
                  <a:graphicData uri="http://schemas.microsoft.com/office/word/2010/wordprocessingShape">
                    <wps:wsp>
                      <wps:cNvSpPr/>
                      <wps:spPr bwMode="auto">
                        <a:xfrm>
                          <a:off x="541800" y="1205640"/>
                          <a:ext cx="6508440" cy="8497332"/>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3" name="Rectangle 1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4" name="Rectangle 1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5" name="Rectangle 1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Clochette sucrée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6" name="Rectangle 1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7" name="Rectangle 1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9" name="Rectangle 1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0" name="Rectangle 2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01/04/2026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1" name="Rectangle 2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2" name="Rectangle 2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38066"/>
                <wp:effectExtent l="0" t="0" r="0" b="0"/>
                <wp:wrapNone/>
                <wp:docPr id="23" name="Rectangle 23"/>
                <wp:cNvGraphicFramePr/>
                <a:graphic xmlns:a="http://schemas.openxmlformats.org/drawingml/2006/main">
                  <a:graphicData uri="http://schemas.microsoft.com/office/word/2010/wordprocessingShape">
                    <wps:wsp>
                      <wps:cNvSpPr/>
                      <wps:spPr bwMode="auto">
                        <a:xfrm>
                          <a:off x="541800" y="1205640"/>
                          <a:ext cx="6508440" cy="8438066"/>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4" name="Rectangle 2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5" name="Rectangle 2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6" name="Rectangle 2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Clochette sucrée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7" name="Rectangle 2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8" name="Rectangle 2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0" name="Rectangle 3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1" name="Rectangle 3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01/04/2026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2" name="Rectangle 3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3" name="Rectangle 3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67526"/>
                <wp:effectExtent l="0" t="0" r="0" b="0"/>
                <wp:wrapNone/>
                <wp:docPr id="34" name="Rectangle 34"/>
                <wp:cNvGraphicFramePr/>
                <a:graphic xmlns:a="http://schemas.openxmlformats.org/drawingml/2006/main">
                  <a:graphicData uri="http://schemas.microsoft.com/office/word/2010/wordprocessingShape">
                    <wps:wsp>
                      <wps:cNvSpPr/>
                      <wps:spPr bwMode="auto">
                        <a:xfrm>
                          <a:off x="541800" y="1205640"/>
                          <a:ext cx="6508440" cy="8367526"/>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6" name="Rectangle 3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7" name="Rectangle 3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8" name="Rectangle 3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Clochette sucrée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9" name="Rectangle 39"/>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0" name="Rectangle 40"/>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4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9">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2" name="Rectangle 42"/>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3" name="Rectangle 4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01/04/2026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4" name="Rectangle 4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5" name="Rectangle 4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23894"/>
                <wp:effectExtent l="0" t="0" r="0" b="0"/>
                <wp:wrapNone/>
                <wp:docPr id="46" name="Rectangle 46"/>
                <wp:cNvGraphicFramePr/>
                <a:graphic xmlns:a="http://schemas.openxmlformats.org/drawingml/2006/main">
                  <a:graphicData uri="http://schemas.microsoft.com/office/word/2010/wordprocessingShape">
                    <wps:wsp>
                      <wps:cNvSpPr/>
                      <wps:spPr bwMode="auto">
                        <a:xfrm>
                          <a:off x="541800" y="1205640"/>
                          <a:ext cx="6508440" cy="8323894"/>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7" name="Rectangle 4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8" name="Rectangle 4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9" name="Rectangle 4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Clochette sucrée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0" name="Rectangle 50"/>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1" name="Rectangle 5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5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0">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3" name="Rectangle 53"/>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4" name="Rectangle 5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01/04/2026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5" name="Rectangle 5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6" name="Rectangle 5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06796"/>
                <wp:effectExtent l="0" t="0" r="0" b="0"/>
                <wp:wrapNone/>
                <wp:docPr id="57" name="Rectangle 57"/>
                <wp:cNvGraphicFramePr/>
                <a:graphic xmlns:a="http://schemas.openxmlformats.org/drawingml/2006/main">
                  <a:graphicData uri="http://schemas.microsoft.com/office/word/2010/wordprocessingShape">
                    <wps:wsp>
                      <wps:cNvSpPr/>
                      <wps:spPr bwMode="auto">
                        <a:xfrm>
                          <a:off x="541800" y="1205640"/>
                          <a:ext cx="6508440" cy="8406796"/>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58" name="Rectangle 5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9" name="Rectangle 5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60" name="Rectangle 6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Clochette sucrée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61" name="Rectangle 6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2" name="Rectangle 6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6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1">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64" name="Rectangle 6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65" name="Rectangle 6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01/04/2026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66" name="Rectangle 6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67" name="Rectangle 6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11522"/>
                <wp:effectExtent l="0" t="0" r="0" b="0"/>
                <wp:wrapNone/>
                <wp:docPr id="68" name="Rectangle 68"/>
                <wp:cNvGraphicFramePr/>
                <a:graphic xmlns:a="http://schemas.openxmlformats.org/drawingml/2006/main">
                  <a:graphicData uri="http://schemas.microsoft.com/office/word/2010/wordprocessingShape">
                    <wps:wsp>
                      <wps:cNvSpPr/>
                      <wps:spPr bwMode="auto">
                        <a:xfrm>
                          <a:off x="541800" y="1205640"/>
                          <a:ext cx="6508440" cy="8411522"/>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69" name="Rectangle 6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70" name="Rectangle 7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71" name="Rectangle 7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Clochette sucrée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72" name="Rectangle 72"/>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73" name="Rectangle 73"/>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7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2">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75" name="Rectangle 75"/>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76" name="Rectangle 7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01/04/2026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77" name="Rectangle 7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78" name="Rectangle 7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54438"/>
                <wp:effectExtent l="0" t="0" r="0" b="0"/>
                <wp:wrapNone/>
                <wp:docPr id="79" name="Rectangle 79"/>
                <wp:cNvGraphicFramePr/>
                <a:graphic xmlns:a="http://schemas.openxmlformats.org/drawingml/2006/main">
                  <a:graphicData uri="http://schemas.microsoft.com/office/word/2010/wordprocessingShape">
                    <wps:wsp>
                      <wps:cNvSpPr/>
                      <wps:spPr bwMode="auto">
                        <a:xfrm>
                          <a:off x="541800" y="1205640"/>
                          <a:ext cx="6508440" cy="8354438"/>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80" name="Rectangle 8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81" name="Rectangle 8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82" name="Rectangle 8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Clochette sucrée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83" name="Rectangle 8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84" name="Rectangle 8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8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3">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86" name="Rectangle 8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87" name="Rectangle 8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01/04/2026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88" name="Rectangle 8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89" name="Rectangle 8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44266"/>
                <wp:effectExtent l="0" t="0" r="0" b="0"/>
                <wp:wrapNone/>
                <wp:docPr id="90" name="Rectangle 90"/>
                <wp:cNvGraphicFramePr/>
                <a:graphic xmlns:a="http://schemas.openxmlformats.org/drawingml/2006/main">
                  <a:graphicData uri="http://schemas.microsoft.com/office/word/2010/wordprocessingShape">
                    <wps:wsp>
                      <wps:cNvSpPr/>
                      <wps:spPr bwMode="auto">
                        <a:xfrm>
                          <a:off x="541800" y="1205640"/>
                          <a:ext cx="6508440" cy="8244266"/>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91" name="Rectangle 9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92" name="Rectangle 9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93" name="Rectangle 9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Clochette sucrée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94" name="Rectangle 9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95" name="Rectangle 9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9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4">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97" name="Rectangle 9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98" name="Rectangle 9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01/04/2026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99" name="Rectangle 9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00" name="Rectangle 10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