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647754af644839" /><Relationship Type="http://schemas.openxmlformats.org/package/2006/relationships/metadata/core-properties" Target="/package/services/metadata/core-properties/162009eb456a4945b6b13a8d79ae3cb0.psmdcp" Id="Rd0797bf6b17e46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Capri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3,7-dimethyloctan-3-ol (78-69-3) | 2-isopropoxyethyl salicylate (79915-74-5) | 1-(1,2,3,4,5,6,7,8-octahydro-2,3,8,8-tetramethyl-2-naphthyl)ethan-1-one (54464-57-2)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0,684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0,45125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2-isopropoxyethyl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79915-74-5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279-348-2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0,1456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08/03/2026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8976"/>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289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7912"/>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14791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3528"/>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2442"/>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30244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10098"/>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11009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Capri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