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a00af48932241b4" /><Relationship Type="http://schemas.openxmlformats.org/package/2006/relationships/metadata/core-properties" Target="/package/services/metadata/core-properties/cb1943c69ca64c6e95382752c9957e35.psmdcp" Id="Rb83ea7d6fa344f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560334"/>
                <wp:effectExtent l="0" t="0" r="0" b="0"/>
                <wp:wrapNone/>
                <wp:docPr id="1" name="Rectangle 1"/>
                <wp:cNvGraphicFramePr/>
                <a:graphic xmlns:a="http://schemas.openxmlformats.org/drawingml/2006/main">
                  <a:graphicData uri="http://schemas.microsoft.com/office/word/2010/wordprocessingShape">
                    <wps:wsp>
                      <wps:cNvSpPr/>
                      <wps:spPr bwMode="auto">
                        <a:xfrm>
                          <a:off x="541800" y="1205640"/>
                          <a:ext cx="6508440" cy="7560334"/>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Blue Monoi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268"/>
                              <w:gridCol w:w="226"/>
                              <w:gridCol w:w="340"/>
                              <w:gridCol w:w="1702"/>
                              <w:gridCol w:w="1078"/>
                              <w:gridCol w:w="2268"/>
                              <w:gridCol w:w="2268"/>
                            </w:tblGrid>
                            <w:tr>
                              <w:trPr>
                                <w:trHeight w:val="1534"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5"/>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Lavender, Lavandula angustifolia angustifolia, ext. (84776-65-8) | α-hexylcinnamaldehyde (101-86-0) | 7-hydroxycitronellal (107-75-5) | 2-benzylideneheptanal (122-40-7) | linalol; 3,7-diméthyl-1,6- octadién-3-ol; dl-linalol (78-70-6) | Salicylate de benzyle (118-58-1) | Linalyl acetate (115-95-7) | Citronellol (106-22-9) | 3-methyl-4-(2,6,6-trimethyl-2-cyclohexen-1-yl)-3-buten-2-one (127-51-5) | [3R-(3α,3aβ,6α,7β,8aα)]-octahydro-3,6,8,8-tetramethyl-1H-3a,7-methanoazulen-5-yl acetate liquide 25% (77-54-3) . Peut produire une réaction allergique.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0,793295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α-hexylcinnamaldehyde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101-86-0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202-983-3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0,6165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2-benzylideneheptanal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122-40-7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204-541-5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0,57375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7-hydroxycitronellal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107-75-5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203-518-7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0,57285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3-methyl-4-(2,6,6-trimethyl-2-</w:t>
                                  </w:r>
                                </w:p>
                                <w:p>
                                  <w:pPr>
                                    <w:spacing w:before="0" w:after="0" w:line="160" w:lineRule="exact"/>
                                    <w:jc w:val="left"/>
                                    <w:rPr>
                                      <w:spacing w:val="-20"/>
                                    </w:rPr>
                                  </w:pPr>
                                  <w:r>
                                    <w:rPr>
                                      <w:rFonts w:ascii="Arial" w:hAnsi="Arial" w:cs="Arial"/>
                                      <w:b w:val="false"/>
                                      <w:i w:val="false"/>
                                      <w:strike w:val="false"/>
                                      <w:color w:val="000000"/>
                                      <w:spacing w:val="-4"/>
                                      <w:sz w:val="16"/>
                                      <w:u w:val="none"/>
                                    </w:rPr>
                                    <w:t xml:space="preserve">cyclohexen-1-yl)-3-buten-2-one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127-51-5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204-846-3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0,375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[3R-(3α,3aβ,6α,7β,8aα)]-octa hydro-3,6,8,8-tetramethyl-1H- 3a,7-methanoazulen-5-yl acetate liquide 25%</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77-54-3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201-036-1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0,288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 / 1</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Salicylate de benzyle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118-58-1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607-754-00-5</w:t>
                                  </w:r>
                                </w:p>
                                <w:p>
                                  <w:pPr>
                                    <w:spacing w:before="0" w:after="0" w:line="160" w:lineRule="exact"/>
                                    <w:jc w:val="left"/>
                                  </w:pPr>
                                  <w:r>
                                    <w:rPr>
                                      <w:rFonts w:ascii="Arial" w:hAnsi="Arial" w:cs="Arial"/>
                                      <w:b w:val="false"/>
                                      <w:i w:val="false"/>
                                      <w:strike w:val="false"/>
                                      <w:color w:val="000000"/>
                                      <w:spacing w:val="0"/>
                                      <w:sz w:val="16"/>
                                      <w:u w:val="none"/>
                                    </w:rPr>
                                    <w:t xml:space="preserve">N°CE : 204-262-9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0,24525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Linalyl acetate</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115-95-7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204-116-4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0,226545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Citronellol</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106-22-9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203-375-0</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0,2229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Lavender, Lavandula angustifolia angustifolia, ext.</w:t>
                                  </w:r>
                                </w:p>
                              </w:tc>
                              <w:tc>
                                <w:tcPr>
                                  <w:tcW w:w="2264" w:type="dxa"/>
                                  <w:gridSpan w:val="3"/>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84776-65-8</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283-994-0</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0,2125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7"/>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7"/>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7"/>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2836"/>
                              <w:gridCol w:w="731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un appareil respiratoire autonome et des vêtements de protection contre les produits chimiques.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Supprimer toute source d'incendie potentiel.</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un appareil respiratoire en cas d'exposition aux vapeurs/poussières/aérosols.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Supprimer toute source d'incendie potentiel.</w:t>
                                  </w:r>
                                </w:p>
                              </w:tc>
                            </w:tr>
                          </w:tbl>
                          <w:tbl>
                            <w:tblPr>
                              <w:tblLayout w:type="fixed"/>
                              <w:tblInd w:w="0" w:type="dxa"/>
                              <w:tblCellMar>
                                <w:left w:w="0" w:type="dxa"/>
                                <w:right w:w="0" w:type="dxa"/>
                              </w:tblCellMar>
                            </w:tblPr>
                            <w:tblGrid>
                              <w:gridCol w:w="2836"/>
                              <w:gridCol w:w="5386"/>
                              <w:gridCol w:w="1928"/>
                            </w:tblGrid>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les eaux de surface ou les égouts.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Fermez toujours hermétiquement les contenants après avoir retiré le produit.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poussière peut former un mélange explosif avec l'air.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fumer pendant l'utilisation.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 de la zone de stockage.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Classe de stockage : Solides inflammables</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Protéger contre: chaleur</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552"/>
                              <w:gridCol w:w="284"/>
                              <w:gridCol w:w="2268"/>
                              <w:gridCol w:w="2552"/>
                              <w:gridCol w:w="568"/>
                              <w:gridCol w:w="1928"/>
                            </w:tblGrid>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98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2268"/>
                              <w:gridCol w:w="2778"/>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décharge électrostatique</w:t>
                                  </w: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exposition prolongée à une chaleur extrême</w:t>
                                  </w:r>
                                </w:p>
                              </w:tc>
                            </w:tr>
                            <w:tr>
                              <w:trPr>
                                <w:trHeight w:val="44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Tenir à l'écart de la chaleur, des surfaces chaudes, des étincelles, des flammes nues et de toute autre source d'inflammation. NE PAS FUMER.</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2268"/>
                              <w:gridCol w:w="5046"/>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Nocif pour la vie aquatique avec des effets durables.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bl>
                          <w:tbl>
                            <w:tblPr>
                              <w:tblLayout w:type="fixed"/>
                              <w:tblInd w:w="0" w:type="dxa"/>
                              <w:tblCellMar>
                                <w:left w:w="0" w:type="dxa"/>
                                <w:right w:w="0" w:type="dxa"/>
                              </w:tblCellMar>
                            </w:tblPr>
                            <w:tblGrid>
                              <w:gridCol w:w="2836"/>
                              <w:gridCol w:w="568"/>
                              <w:gridCol w:w="1702"/>
                              <w:gridCol w:w="5046"/>
                            </w:tblGrid>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20/03/2026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bl>
                          <w:tbl>
                            <w:tblPr>
                              <w:tblLayout w:type="fixed"/>
                              <w:tblInd w:w="0" w:type="dxa"/>
                              <w:tblCellMar>
                                <w:left w:w="0" w:type="dxa"/>
                                <w:right w:w="0" w:type="dxa"/>
                              </w:tblCellMar>
                            </w:tblPr>
                            <w:tblGrid>
                              <w:gridCol w:w="1702"/>
                              <w:gridCol w:w="8448"/>
                            </w:tblGrid>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Asp. Tox.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par aspiration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 name="Rectangle 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 name="Rectangle 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 name="Rectangle 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Blue Monoi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 name="Rectangle 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 name="Rectangle 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 name="Rectangle 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 name="Rectangle 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0" name="Rectangle 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 name="Rectangle 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99180"/>
                <wp:effectExtent l="0" t="0" r="0" b="0"/>
                <wp:wrapNone/>
                <wp:docPr id="12" name="Rectangle 12"/>
                <wp:cNvGraphicFramePr/>
                <a:graphic xmlns:a="http://schemas.openxmlformats.org/drawingml/2006/main">
                  <a:graphicData uri="http://schemas.microsoft.com/office/word/2010/wordprocessingShape">
                    <wps:wsp>
                      <wps:cNvSpPr/>
                      <wps:spPr bwMode="auto">
                        <a:xfrm>
                          <a:off x="541800" y="1205640"/>
                          <a:ext cx="6508440" cy="8199180"/>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 name="Rectangle 1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 name="Rectangle 1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5" name="Rectangle 1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Blue Monoi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6" name="Rectangle 1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7" name="Rectangle 1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9" name="Rectangle 1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20" name="Rectangle 2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21" name="Rectangle 2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22" name="Rectangle 2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75536"/>
                <wp:effectExtent l="0" t="0" r="0" b="0"/>
                <wp:wrapNone/>
                <wp:docPr id="23" name="Rectangle 23"/>
                <wp:cNvGraphicFramePr/>
                <a:graphic xmlns:a="http://schemas.openxmlformats.org/drawingml/2006/main">
                  <a:graphicData uri="http://schemas.microsoft.com/office/word/2010/wordprocessingShape">
                    <wps:wsp>
                      <wps:cNvSpPr/>
                      <wps:spPr bwMode="auto">
                        <a:xfrm>
                          <a:off x="541800" y="1205640"/>
                          <a:ext cx="6508440" cy="8275536"/>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24" name="Rectangle 2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25" name="Rectangle 2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26" name="Rectangle 2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Blue Monoi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27" name="Rectangle 2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28" name="Rectangle 2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30" name="Rectangle 3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31" name="Rectangle 3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32" name="Rectangle 3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33" name="Rectangle 3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55154"/>
                <wp:effectExtent l="0" t="0" r="0" b="0"/>
                <wp:wrapNone/>
                <wp:docPr id="34" name="Rectangle 34"/>
                <wp:cNvGraphicFramePr/>
                <a:graphic xmlns:a="http://schemas.openxmlformats.org/drawingml/2006/main">
                  <a:graphicData uri="http://schemas.microsoft.com/office/word/2010/wordprocessingShape">
                    <wps:wsp>
                      <wps:cNvSpPr/>
                      <wps:spPr bwMode="auto">
                        <a:xfrm>
                          <a:off x="541800" y="1205640"/>
                          <a:ext cx="6508440" cy="8455154"/>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35" name="Rectangle 3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36" name="Rectangle 3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37" name="Rectangle 3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Blue Monoi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38" name="Rectangle 3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39" name="Rectangle 3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1" name="Rectangle 4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2" name="Rectangle 4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3" name="Rectangle 4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4" name="Rectangle 4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3346"/>
                <wp:effectExtent l="0" t="0" r="0" b="0"/>
                <wp:wrapNone/>
                <wp:docPr id="45" name="Rectangle 45"/>
                <wp:cNvGraphicFramePr/>
                <a:graphic xmlns:a="http://schemas.openxmlformats.org/drawingml/2006/main">
                  <a:graphicData uri="http://schemas.microsoft.com/office/word/2010/wordprocessingShape">
                    <wps:wsp>
                      <wps:cNvSpPr/>
                      <wps:spPr bwMode="auto">
                        <a:xfrm>
                          <a:off x="541800" y="1205640"/>
                          <a:ext cx="6508440" cy="8353346"/>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7" name="Rectangle 4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8" name="Rectangle 4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9" name="Rectangle 4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Blue Monoi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0" name="Rectangle 5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1" name="Rectangle 5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3" name="Rectangle 5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4" name="Rectangle 5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5" name="Rectangle 5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6" name="Rectangle 5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00624"/>
                <wp:effectExtent l="0" t="0" r="0" b="0"/>
                <wp:wrapNone/>
                <wp:docPr id="57" name="Rectangle 57"/>
                <wp:cNvGraphicFramePr/>
                <a:graphic xmlns:a="http://schemas.openxmlformats.org/drawingml/2006/main">
                  <a:graphicData uri="http://schemas.microsoft.com/office/word/2010/wordprocessingShape">
                    <wps:wsp>
                      <wps:cNvSpPr/>
                      <wps:spPr bwMode="auto">
                        <a:xfrm>
                          <a:off x="541800" y="1205640"/>
                          <a:ext cx="6508440" cy="8300624"/>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8" name="Rectangle 5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9" name="Rectangle 5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60" name="Rectangle 6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Blue Monoi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61" name="Rectangle 6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62" name="Rectangle 6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6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64" name="Rectangle 6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65" name="Rectangle 6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66" name="Rectangle 6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67" name="Rectangle 6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70436"/>
                <wp:effectExtent l="0" t="0" r="0" b="0"/>
                <wp:wrapNone/>
                <wp:docPr id="68" name="Rectangle 68"/>
                <wp:cNvGraphicFramePr/>
                <a:graphic xmlns:a="http://schemas.openxmlformats.org/drawingml/2006/main">
                  <a:graphicData uri="http://schemas.microsoft.com/office/word/2010/wordprocessingShape">
                    <wps:wsp>
                      <wps:cNvSpPr/>
                      <wps:spPr bwMode="auto">
                        <a:xfrm>
                          <a:off x="541800" y="1205640"/>
                          <a:ext cx="6508440" cy="8370436"/>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69" name="Rectangle 6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70" name="Rectangle 7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71" name="Rectangle 7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Blue Monoi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72" name="Rectangle 7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73" name="Rectangle 7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7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75" name="Rectangle 7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76" name="Rectangle 7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77" name="Rectangle 7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78" name="Rectangle 7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74798"/>
                <wp:effectExtent l="0" t="0" r="0" b="0"/>
                <wp:wrapNone/>
                <wp:docPr id="79" name="Rectangle 79"/>
                <wp:cNvGraphicFramePr/>
                <a:graphic xmlns:a="http://schemas.openxmlformats.org/drawingml/2006/main">
                  <a:graphicData uri="http://schemas.microsoft.com/office/word/2010/wordprocessingShape">
                    <wps:wsp>
                      <wps:cNvSpPr/>
                      <wps:spPr bwMode="auto">
                        <a:xfrm>
                          <a:off x="541800" y="1205640"/>
                          <a:ext cx="6508440" cy="8374798"/>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80" name="Rectangle 8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81" name="Rectangle 8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82" name="Rectangle 8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Blue Monoi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83" name="Rectangle 8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84" name="Rectangle 8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8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86" name="Rectangle 8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87" name="Rectangle 8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88" name="Rectangle 8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89" name="Rectangle 8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2982"/>
                <wp:effectExtent l="0" t="0" r="0" b="0"/>
                <wp:wrapNone/>
                <wp:docPr id="90" name="Rectangle 90"/>
                <wp:cNvGraphicFramePr/>
                <a:graphic xmlns:a="http://schemas.openxmlformats.org/drawingml/2006/main">
                  <a:graphicData uri="http://schemas.microsoft.com/office/word/2010/wordprocessingShape">
                    <wps:wsp>
                      <wps:cNvSpPr/>
                      <wps:spPr bwMode="auto">
                        <a:xfrm>
                          <a:off x="541800" y="1205640"/>
                          <a:ext cx="6508440" cy="8352982"/>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91" name="Rectangle 9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92" name="Rectangle 9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93" name="Rectangle 9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Blue Monoi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94" name="Rectangle 9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95" name="Rectangle 9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9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97" name="Rectangle 9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98" name="Rectangle 9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99" name="Rectangle 9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00" name="Rectangle 10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3465472"/>
                <wp:effectExtent l="0" t="0" r="0" b="0"/>
                <wp:wrapNone/>
                <wp:docPr id="101" name="Rectangle 101"/>
                <wp:cNvGraphicFramePr/>
                <a:graphic xmlns:a="http://schemas.openxmlformats.org/drawingml/2006/main">
                  <a:graphicData uri="http://schemas.microsoft.com/office/word/2010/wordprocessingShape">
                    <wps:wsp>
                      <wps:cNvSpPr/>
                      <wps:spPr bwMode="auto">
                        <a:xfrm>
                          <a:off x="541800" y="1205640"/>
                          <a:ext cx="6508440" cy="3465472"/>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02" name="Rectangle 10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03" name="Rectangle 10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04" name="Rectangle 10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Blue Monoi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05" name="Rectangle 10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06" name="Rectangle 10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10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08" name="Rectangle 10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09" name="Rectangle 10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20/03/2026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10" name="Rectangle 11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11" name="Rectangle 11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