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Default Extension="psmdcp" ContentType="application/vnd.openxmlformats-package.core-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08aae70a2c664154" /><Relationship Type="http://schemas.openxmlformats.org/package/2006/relationships/metadata/core-properties" Target="/package/services/metadata/core-properties/61656130a10e47d7bd695285479afeff.psmdcp" Id="Rd6192be0a53749f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038106"/>
                <wp:effectExtent l="0" t="0" r="0" b="0"/>
                <wp:wrapNone/>
                <wp:docPr id="139" name="Rectangle 139"/>
                <wp:cNvGraphicFramePr/>
                <a:graphic xmlns:a="http://schemas.openxmlformats.org/drawingml/2006/main">
                  <a:graphicData uri="http://schemas.microsoft.com/office/word/2010/wordprocessingShape">
                    <wps:wsp>
                      <wps:cNvSpPr/>
                      <wps:spPr bwMode="auto">
                        <a:xfrm>
                          <a:off x="541800" y="1205640"/>
                          <a:ext cx="6508440" cy="8038106"/>
                        </a:xfrm>
                        <a:prstGeom prst="rect">
                          <a:avLst/>
                        </a:prstGeom>
                        <a:ln w="0" cap="sq" cmpd="sng">
                          <a:noFill/>
                          <a:miter lim="800000"/>
                        </a:ln>
                      </wps:spPr>
                      <wps:txbx id="1">
                        <w:txbxContent>
                          <w:tbl>
                            <w:tblPr>
                              <w:tblLayout w:type="fixed"/>
                              <w:tblInd w:w="0" w:type="dxa"/>
                              <w:tblCellMar>
                                <w:left w:w="0" w:type="dxa"/>
                                <w:right w:w="0" w:type="dxa"/>
                              </w:tblCellMar>
                            </w:tblPr>
                            <w:tblGrid>
                              <w:gridCol w:w="2268"/>
                              <w:gridCol w:w="226"/>
                              <w:gridCol w:w="100"/>
                              <w:gridCol w:w="510"/>
                              <w:gridCol w:w="2608"/>
                              <w:gridCol w:w="4480"/>
                            </w:tblGrid>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56" w:type="dxa"/>
                                    <w:left w:w="56" w:type="dxa"/>
                                    <w:bottom w:w="56"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 Identification de la substance/du mélange et de la société/de l’entreprise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1.1 - Identificateur de produit</w:t>
                                  </w:r>
                                </w:p>
                              </w:tc>
                            </w:tr>
                            <w:tr>
                              <w:trPr>
                                <w:trHeight w:val="44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commercial du produit/désignation</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Crepuscule poudrée 10%</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chimique</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Type 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Mélange</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Sublimatelier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1.2 - Utilisations identifiées pertinentes de la substance ou du mélange et utilisations déconseillées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5666"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Utilisations identifiées pertinentes</w:t>
                                  </w:r>
                                </w:p>
                              </w:tc>
                              <w:tc>
                                <w:tcPr>
                                  <w:tcW w:w="4474"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Usage consommateur,Usage professionnel</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1.3 - Renseignements concernant le fournisseur de la fiche de données de sécurité</w:t>
                                  </w:r>
                                </w:p>
                              </w:tc>
                            </w:tr>
                            <w:tr>
                              <w:trPr>
                                <w:trHeight w:val="1103"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-Sublimatelier</w:t>
                                  </w:r>
                                </w:p>
                                <w:p>
                                  <w:pPr>
                                    <w:spacing w:before="0" w:after="0" w:line="200" w:lineRule="exact"/>
                                    <w:jc w:val="left"/>
                                  </w:pPr>
                                  <w:r>
                                    <w:rPr>
                                      <w:rFonts w:ascii="Arial" w:hAnsi="Arial" w:cs="Arial"/>
                                      <w:b w:val="false"/>
                                      <w:i w:val="false"/>
                                      <w:strike w:val="false"/>
                                      <w:color w:val="000000"/>
                                      <w:spacing w:val="0"/>
                                      <w:sz w:val="20"/>
                                      <w:u w:val="none"/>
                                    </w:rPr>
                                    <w:t xml:space="preserve">27 rue sainte genevieve</w:t>
                                  </w:r>
                                </w:p>
                                <w:p>
                                  <w:pPr>
                                    <w:spacing w:before="0" w:after="0" w:line="200" w:lineRule="exact"/>
                                    <w:jc w:val="left"/>
                                  </w:pPr>
                                  <w:r>
                                    <w:rPr>
                                      <w:rFonts w:ascii="Arial" w:hAnsi="Arial" w:cs="Arial"/>
                                      <w:b w:val="false"/>
                                      <w:i w:val="false"/>
                                      <w:strike w:val="false"/>
                                      <w:color w:val="000000"/>
                                      <w:spacing w:val="0"/>
                                      <w:sz w:val="20"/>
                                      <w:u w:val="none"/>
                                    </w:rPr>
                                    <w:t xml:space="preserve">10100 Romilly sur seine France</w:t>
                                  </w:r>
                                </w:p>
                                <w:p>
                                  <w:pPr>
                                    <w:spacing w:before="0" w:after="0" w:line="200" w:lineRule="exact"/>
                                    <w:jc w:val="left"/>
                                  </w:pPr>
                                  <w:r>
                                    <w:rPr>
                                      <w:rFonts w:ascii="Arial" w:hAnsi="Arial" w:cs="Arial"/>
                                      <w:b w:val="false"/>
                                      <w:i w:val="false"/>
                                      <w:strike w:val="false"/>
                                      <w:color w:val="000000"/>
                                      <w:spacing w:val="0"/>
                                      <w:sz w:val="20"/>
                                      <w:u w:val="none"/>
                                    </w:rPr>
                                    <w:t xml:space="preserve">Téléphone : 0632985205</w:t>
                                  </w:r>
                                </w:p>
                                <w:p>
                                  <w:pPr>
                                    <w:spacing w:before="0" w:after="0" w:line="200" w:lineRule="exact"/>
                                    <w:jc w:val="left"/>
                                  </w:pPr>
                                  <w:r>
                                    <w:rPr>
                                      <w:rFonts w:ascii="Arial" w:hAnsi="Arial" w:cs="Arial"/>
                                      <w:b w:val="false"/>
                                      <w:i w:val="false"/>
                                      <w:strike w:val="false"/>
                                      <w:color w:val="000000"/>
                                      <w:spacing w:val="0"/>
                                      <w:sz w:val="20"/>
                                      <w:u w:val="none"/>
                                    </w:rPr>
                                    <w:t xml:space="preserve">Site web www.sublimatelier.fr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1.4 - Numéro d’appel d’urgence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ORFILA + 33 (0)1 45 42 59 59 France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2: Identification des dangers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2.1 - Classification de la substance ou du mélange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Classification selon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546"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Not Classified</w:t>
                                  </w:r>
                                </w:p>
                              </w:tc>
                              <w:tc>
                                <w:tcPr>
                                  <w:tcW w:w="759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 classé</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2.2 - Éléments d'étiquetage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étiquetage selon le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 d'avertissement</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Pictogrammes</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Mentions de danger</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Conseils de prudence</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P101</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 cas de consultation d'un médecin, garder à disposition le récipient ou l'étiquette.</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P102</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Tenir hors de portée des enfants.</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P103</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Lire attentivement et bien respecter toutes les instructions.</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Phrases EUH</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314"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EUH208</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Contient [1R-(1α,2α,5β,8β)]-4,4,8-trimethyltricyclo[6.3.1.02,5]dodecan-1-yl acetate (57082-24-3) | 3-methyl-4-(2,6,6-trimethyl-2-cyclohexen-1-yl)-3-buten-2-one (127-51-5) | Salicylate de benzyle (118-58-1) | linalol; 3,7-diméthyl-1,6- octadién-3-ol; dl-linalol (78-70-6) | α-hexylcinnamaldehyde (101-86-0) | 7-hydroxycitronellal (107-75-5) | 2-benzylideneheptanal (122-40-7) . Peut produire une réaction allergique.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2.3 - Autres dangers</w:t>
                                  </w:r>
                                </w:p>
                              </w:tc>
                            </w:tr>
                          </w:tbl>
                          <w:tbl>
                            <w:tblPr>
                              <w:tblLayout w:type="fixed"/>
                              <w:tblInd w:w="0" w:type="dxa"/>
                              <w:tblCellMar>
                                <w:left w:w="0" w:type="dxa"/>
                                <w:right w:w="0" w:type="dxa"/>
                              </w:tblCellMar>
                            </w:tblPr>
                            <w:tblGrid>
                              <w:gridCol w:w="2268"/>
                              <w:gridCol w:w="568"/>
                              <w:gridCol w:w="1702"/>
                              <w:gridCol w:w="1078"/>
                              <w:gridCol w:w="2268"/>
                              <w:gridCol w:w="2268"/>
                            </w:tblGrid>
                            <w:tr>
                              <w:trPr>
                                <w:trHeight w:val="1103" w:hRule="atLeast"/>
                              </w:trPr>
                              <w:tc>
                                <w:tcPr>
                                  <w:tcW w:w="4532"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 PBT.</w:t>
                                  </w: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atLeast"/>
                              </w:trPr>
                              <w:tc>
                                <w:tcPr>
                                  <w:tcW w:w="4532"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matière vPvB.</w:t>
                                  </w: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mélange contient &gt;= 0,1 % de substances répondant aux critères vPvB conformément au règlement (CE) n° 1907/2006, annexe XIII. Voir la SECTION 3 de cette fiche de données de sécurité.</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4532"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Autres dangers n'entraînant pas la classification</w:t>
                                  </w: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Conformément au règlement (UE) 1907/2006, aucune substance n'est évaluée comme PBT ou vPvB.</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3: Composition / informations sur les composants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3.1 - Substances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Non applicable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3.2 - Mélanges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70"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Nom chimique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Classe(s)</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Concentrations spécifiques</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3-methyl-4-(2,6,6-trimethyl-2-</w:t>
                                  </w:r>
                                </w:p>
                                <w:p>
                                  <w:pPr>
                                    <w:spacing w:before="0" w:after="0" w:line="160" w:lineRule="exact"/>
                                    <w:jc w:val="left"/>
                                    <w:rPr>
                                      <w:spacing w:val="-20"/>
                                    </w:rPr>
                                  </w:pPr>
                                  <w:r>
                                    <w:rPr>
                                      <w:rFonts w:ascii="Arial" w:hAnsi="Arial" w:cs="Arial"/>
                                      <w:b w:val="false"/>
                                      <w:i w:val="false"/>
                                      <w:strike w:val="false"/>
                                      <w:color w:val="000000"/>
                                      <w:spacing w:val="-4"/>
                                      <w:sz w:val="16"/>
                                      <w:u w:val="none"/>
                                    </w:rPr>
                                    <w:t xml:space="preserve">cyclohexen-1-yl)-3-buten-2-one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127-51-5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204-846-3</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0,3478</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α-hexylcinnamaldehyde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101-86-0</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202-983-3</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0,2846</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7-hydroxycitronellal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107-75-5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203-518-7</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0,2616</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2-benzylideneheptanal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122-40-7</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204-541-5</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0,2576</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[1R-(1α,2α,5β,8β)]-4,4,8-trime thyltricyclo[6.3.1.02,5]dodeca n-1-yl acetate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57082-24-3</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260-555-1</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0,1666</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linalol; 3,7-diméthyl-1,6- octadién-3-ol; dl-linalol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78-70-6</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603-235-00-2</w:t>
                                  </w:r>
                                </w:p>
                                <w:p>
                                  <w:pPr>
                                    <w:spacing w:before="0" w:after="0" w:line="160" w:lineRule="exact"/>
                                    <w:jc w:val="left"/>
                                  </w:pPr>
                                  <w:r>
                                    <w:rPr>
                                      <w:rFonts w:ascii="Arial" w:hAnsi="Arial" w:cs="Arial"/>
                                      <w:b w:val="false"/>
                                      <w:i w:val="false"/>
                                      <w:strike w:val="false"/>
                                      <w:color w:val="000000"/>
                                      <w:spacing w:val="0"/>
                                      <w:sz w:val="16"/>
                                      <w:u w:val="none"/>
                                    </w:rPr>
                                    <w:t xml:space="preserve">N°CE : 201-134-4</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0,1588</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Salicylate de benzyle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118-58-1</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607-754-00-5</w:t>
                                  </w:r>
                                </w:p>
                                <w:p>
                                  <w:pPr>
                                    <w:spacing w:before="0" w:after="0" w:line="160" w:lineRule="exact"/>
                                    <w:jc w:val="left"/>
                                  </w:pPr>
                                  <w:r>
                                    <w:rPr>
                                      <w:rFonts w:ascii="Arial" w:hAnsi="Arial" w:cs="Arial"/>
                                      <w:b w:val="false"/>
                                      <w:i w:val="false"/>
                                      <w:strike w:val="false"/>
                                      <w:color w:val="000000"/>
                                      <w:spacing w:val="0"/>
                                      <w:sz w:val="16"/>
                                      <w:u w:val="none"/>
                                    </w:rPr>
                                    <w:t xml:space="preserve">N°CE : 204-262-9</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0,157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3 - H412</w:t>
                                  </w:r>
                                </w:p>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4: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4.1 - Description des mesures de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d'inhalation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Transporter la personne affectée en position allongée, en cas d'essoufflement en position semi-assise.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la peau</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Après contact avec la peau, laver immédiatement et abondamment avec de l'eau et du savon.</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Changer les vêtements contaminés et saturés.</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réactions cutanées, consulter un médecin.</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Consulter impérativement un médecin.</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Enlever immédiatement les vêtement souillés, imprégnés.</w:t>
                                  </w:r>
                                </w:p>
                              </w:tc>
                            </w:tr>
                          </w:tbl>
                          <w:tbl>
                            <w:tblPr>
                              <w:tblLayout w:type="fixed"/>
                              <w:tblInd w:w="0" w:type="dxa"/>
                              <w:tblCellMar>
                                <w:left w:w="0" w:type="dxa"/>
                                <w:right w:w="0" w:type="dxa"/>
                              </w:tblCellMar>
                            </w:tblPr>
                            <w:tblGrid>
                              <w:gridCol w:w="2836"/>
                              <w:gridCol w:w="7314"/>
                            </w:tblGrid>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les yeux</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Après contact avec les yeux, rincer à l'eau les paupières ouvertes suffisamment longtemps, puis consulter immédiatement un ophtalmologiste.</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contact avec les yeux, paupière ouverte rincer immédiatement à l'eau courante 10 à 15 minutes et consulter un ophtalmologiste.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d'irritation oculaire, consulter un ophtalmologue.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Rincer soigneusement et abondamment avec une douche oculaire ou de l'eau.</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d'ingestion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doute ou si des symptômes sont observés, consulter un médecin.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faire vomir.</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Rincer la bouche abondamment à l'eau.</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4.2 - Principaux symptômes et effets, aigus et différés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d'inhalation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principaux symptômes et effets connus sont décrits sur l'étiquette (voir section 2.2) et/ou à l'article 11</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4.3 - Indication des éventuels soins médicaux immédiats et traitements particuliers nécessaires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5: Mesures de lutte contre l'incendie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5.1 - Moyens d'extinction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ABC-poudre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Dioxyde de carbone (CO2)</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Sable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Mousse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inappropriés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Jet d'eau puissant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5.2 - Dangers particuliers résultant de la substance ou du mélange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particuliers résultant  de la substance ou du  mélange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 formation de gaz toxiques est possible pendant le chauffage ou en cas d'incendie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Produits de décomposition  dangereux</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5.3 - Conseils aux pompiers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Collecter séparément les eaux d'extinction contaminées. Elles ne doivent pas être déversées dans les égouts.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Coordonner les mesures de lutte contre l'incendie en fonction de l'environnement.</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Coordonner les mesures de lutte contre l'incendie en fonction de l'environnement.</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Déplacer les récipients non endommagés hors de la zone de danger immédiat si cela peut être fait en toute sécurité.</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inhaler les gaz d'explosion et de combustion.</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Soyez prudent lorsque vous appliquez du dioxyde de carbone dans des espaces confinés. Le dioxyde de carbone peut déplacer l'oxygène.</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jet d'eau pour protéger le personnel et refroidir les récipients en danger.</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6: Mesures à prendre en cas de dispersion accidentelle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6.1 - Précautions individuelles, équipement de protection et procédures d’urgence</w:t>
                                  </w:r>
                                </w:p>
                              </w:tc>
                            </w:tr>
                          </w:tbl>
                          <w:tbl>
                            <w:tblPr>
                              <w:tblLayout w:type="fixed"/>
                              <w:tblInd w:w="0" w:type="dxa"/>
                              <w:tblCellMar>
                                <w:left w:w="0" w:type="dxa"/>
                                <w:right w:w="0" w:type="dxa"/>
                              </w:tblCellMar>
                            </w:tblPr>
                            <w:tblGrid>
                              <w:gridCol w:w="2836"/>
                              <w:gridCol w:w="7314"/>
                            </w:tblGrid>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non-secouristes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Assurer une aération suffisante.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Evacuer les personnes en lieu sûr.</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personnel.</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une protection respiratoire adéquate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Mettre les personnes en lieu sûr.</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individuelle.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Portez des gants de protection.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6.2 - Précautions pour la protection de l’environnement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Empêcher la pénétration dans le sol, les fossés, les égouts, les cours d'eau et les eaux souterraines.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Empêcher la propagation sur une large zone (par exemple, par un confinement ou des barrières pétrolières).</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Empêcher toute pénétration dans les égouts et les eaux publiques. Prévenir les autorités si le liquide pénètre dans les égouts ou les eaux publiques.</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fuite de gaz ou de pénétration dans les cours d'eau, le sol ou les égouts, informer les autorités responsables.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pénétrer dans le sol/sous-sol.</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S'assurer que les déversements peuvent être contenus, par exemple dans des palettes de rétention ou des zones à bordures.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Veiller à ce que toutes les eaux usées soient collectées et traitées par une station d'épuration.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6.3 - Méthodes et matériel de confinement et de nettoyage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confinement</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nettoyage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Absorber avec un matériau liant les liquides ( p. ex. sable, terre de diatomées, liants acides ou universels).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Ventiler la zone affectée.</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Absorber avec un matériau liant les liquides (par ex. sable, terre de diatomées, liants acides ou universels).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Essuyer avec un matériau absorbant (p. ex. tissu, molleton).</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Nettoyer soigneusement les objets et les zones contaminés en respectant les réglementations environnementales.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Pomper/recueillir le produit libéré dans des récipients appropriés.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Ramasser mécaniquement et placer dans des conteneurs appropriés en vue de l'élimination.</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Traiter les matériaux récupérés comme indiqué dans la section relative à l'élimination des déchets.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Techniques inappropriées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6.4 - Référence à d'autres rubriques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 voir section 13</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Equipement de protection individuelle : voir rubrique 8</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Manipulation sûre : voir section 7</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7: Manipulation et stockage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7.1 - Précautions à prendre pour une manipulation sans danger</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Recommandation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de:Contact avec la peau</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Porter des vêtements de protection individuelle (voir section 8).</w:t>
                                  </w:r>
                                </w:p>
                              </w:tc>
                            </w:tr>
                          </w:tbl>
                          <w:tbl>
                            <w:tblPr>
                              <w:tblLayout w:type="fixed"/>
                              <w:tblInd w:w="0" w:type="dxa"/>
                              <w:tblCellMar>
                                <w:left w:w="0" w:type="dxa"/>
                                <w:right w:w="0" w:type="dxa"/>
                              </w:tblCellMar>
                            </w:tblPr>
                            <w:tblGrid>
                              <w:gridCol w:w="2836"/>
                              <w:gridCol w:w="5386"/>
                              <w:gridCol w:w="1928"/>
                            </w:tblGrid>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Manipuler la substance uniquement dans des installations ou systèmes fermés.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s'assurer d'une ventilation suffisante et d'une aspiration ponctuelle au niveau des points critiques.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seulement dans des zones bien ventilées.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Aspirer les vapeurs/aérosols directement à l'endroit où ils se forment.</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Concevoir en règle générale tous les procédés de travail de manière à exclure les risques suivants:Inhalation des vapeurs ou brouillards/aérosols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Des vapeurs inflammables peuvent s'accumuler dans l'espace libre des systèmes fermés.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de respirer les vapeurs, le brouillard, les pulvérisations et les fumées.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vapeurs peuvent former avec l'air un mélange explosif.</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vapeurs/aérosols doivent être évacués directement au point d'origine.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Notice explicative sur l'hygiène industrielle générale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Se laver les mains avant les pauses et après le travail.</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Changer immédiatement tout vêtement, chaussures ou chaussettes souillés.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Laver les vêtements souillés avant de les réutiliser.</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vêtements de travail utilisés ne doivent pas être portés en-dehors de la zone de travail.</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Travailler dans des zones bien ventilées ou avec un masque respiratoire à filtre.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7.2 - Conditions d’un stockage sûr, y compris les éventuelles incompatibilités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Conserver/stocker uniquement dans le récipient d'origine.</w:t>
                                  </w: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Maintenir le recipient vertical afin d'eviter les fuites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7.3 - Utilisation(s) finale(s) particulière(s)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Respecter la fiche technique.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8: Contrôles de l’exposition/protection individuelle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8.1 - Paramètres de contrôle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8.2 - Contrôles de l'exposition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techniques  appropriés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Assurer une ventilation adéquate.</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mesures techniques et l'utilisation de méthodes de travail adéquates sont prioritaires sur les équipements de protections individuelles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Mesures de protection  individuelle, telles que les  équipements de protection  individuelle</w:t>
                                  </w: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NBR (caoutchouc nitrile).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Appareil de protection respiratoire approprié:Appareil avec filtre à particules (EN 143)</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18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19">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bl>
                          <w:tbl>
                            <w:tblPr>
                              <w:tblLayout w:type="fixed"/>
                              <w:tblInd w:w="0" w:type="dxa"/>
                              <w:tblCellMar>
                                <w:left w:w="0" w:type="dxa"/>
                                <w:right w:w="0" w:type="dxa"/>
                              </w:tblCellMar>
                            </w:tblPr>
                            <w:tblGrid>
                              <w:gridCol w:w="2552"/>
                              <w:gridCol w:w="284"/>
                              <w:gridCol w:w="2268"/>
                              <w:gridCol w:w="2552"/>
                              <w:gridCol w:w="568"/>
                              <w:gridCol w:w="1928"/>
                            </w:tblGrid>
                            <w:tr>
                              <w:trPr>
                                <w:trHeight w:val="1134"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Gants de protection</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19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1">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88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 qualité des gants de protection résistants aux produits chimiques doit être choisie en fonction de la concentration et de la quantité de substances dangereuses sur le lieu de travail.</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66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Lors de la manipulation de substances chimiques, il convient de porter des gants de protection portant le label CE avec les quatre chiffres de contrôle.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Lors de la manipulation de substances chimiques, porter exclusivement des gants spécial chimie pourvus d'un marquage CE, y compris du numéro de contrôle à quatre chiffres.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19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2">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1134"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Porter les gants de protection homologués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19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3">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88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Pour des usages particuliers, il est recommandé de vérifier la résistance aux produits chimiques des gants de protection mentionnés ci-dessus avec le fournisseur de ces gants.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Protection du corps appropriée:blouse de laboratoire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19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4">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66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Si les mesures techniques d'aspiration ou de ventilation ne sont pas possibles ou insuffisantes, il faut porter une protection respiratoire.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221"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Respecter les délais d'usure spécifiés par le fabricant.</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03"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 classe de filtre doit être adaptée à la concentration maximale de contaminants (gaz/vapeur/aérosol/particules) susceptible d'apparaître lors de la manipulation du produit. Si la concentration est dépassée, un appareil respiratoire autonome doit être utilisé.</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66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N'utiliser que des appareils de protection respiratoire portant le symbole CE et un numéro de test à quatre chiffres.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d'exposition liés à la protection de l'environnement</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9: Propriétés physiques et chimiques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9.1 - Informations sur les propriétés physiques et chimiques essentielles</w:t>
                                  </w:r>
                                </w:p>
                              </w:tc>
                            </w:tr>
                            <w:tr>
                              <w:trPr>
                                <w:trHeight w:val="170"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État</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Aspect</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Couleur</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ivoire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Odeur</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caractéristique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Seuil olfactif</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bl>
                          <w:tbl>
                            <w:tblPr>
                              <w:tblLayout w:type="fixed"/>
                              <w:tblInd w:w="0" w:type="dxa"/>
                              <w:tblCellMar>
                                <w:left w:w="0" w:type="dxa"/>
                                <w:right w:w="0" w:type="dxa"/>
                              </w:tblCellMar>
                            </w:tblPr>
                            <w:tblGrid>
                              <w:gridCol w:w="5104"/>
                              <w:gridCol w:w="5046"/>
                            </w:tblGrid>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fusion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congélation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d'ébullition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éclair</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&lt; 100 °C</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Taux d'évaporation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inflammabilité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inférieure d’explosivité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supérieure d'explosivité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Pression de la vapeur</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de la vapeur</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relative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(Eau)</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(Ethanol)</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(Acétone)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(Solvants organiques)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d’auto-inflammabilité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de décomposition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cinématique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dynamique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Caractéristiques des particules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Taille des particules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Empoussièrement</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Aire de surface spécifique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Forme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9.2 - Autres informations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COV</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Energie minimale d'ignition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Conductivité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Indice de réfraction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corps solides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Tension de surface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Concentration de saturation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10: Stabilité et réactivité</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10.1 - Réactivité</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matériau est considéré comme non réactif dans des conditions normales d'utilisation.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10.2 - Stabilité chimique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produit est chimiquement stable dans les conditions recommandées de stockage, d'utilisation et de température.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10.3 - Possibilité de réactions dangereuses</w:t>
                                  </w:r>
                                </w:p>
                              </w:tc>
                            </w:tr>
                          </w:tbl>
                          <w:tbl>
                            <w:tblPr>
                              <w:tblLayout w:type="fixed"/>
                              <w:tblInd w:w="0" w:type="dxa"/>
                              <w:tblCellMar>
                                <w:left w:w="0" w:type="dxa"/>
                                <w:right w:w="0" w:type="dxa"/>
                              </w:tblCellMar>
                            </w:tblPr>
                            <w:tblGrid>
                              <w:gridCol w:w="2836"/>
                              <w:gridCol w:w="4536"/>
                              <w:gridCol w:w="2778"/>
                            </w:tblGrid>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réaction dangereuse lors de la manipulation et du stockage conformément aux dispositions.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10.4 - Conditions à éviter</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Stable dans les conditions de stockage et de manipulation recommandées.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10.5 - Matières incompatibles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10.6 - Produits de décomposition dangereux</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11: Informations toxicologiques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11.1 - Informations sur les classes de danger telles que définies dans le règlement (CE) no 1272/2008</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aiguë</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Orale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(lapin)</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poussières brouillard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vapeurs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Corrosion cutanée/irritation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Lésions oculaires  graves/irritation oculaire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Provoque une grave irritation des yeux.</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Sensibilisation respiratoire ou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Peut provoquer une réaction allergique cutanée.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Mutagénicité sur les cellules  germinales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Cancérogénicité</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pour la reproduction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unique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bl>
                          <w:tbl>
                            <w:tblPr>
                              <w:tblLayout w:type="fixed"/>
                              <w:tblInd w:w="0" w:type="dxa"/>
                              <w:tblCellMar>
                                <w:left w:w="0" w:type="dxa"/>
                                <w:right w:w="0" w:type="dxa"/>
                              </w:tblCellMar>
                            </w:tblPr>
                            <w:tblGrid>
                              <w:gridCol w:w="2836"/>
                              <w:gridCol w:w="2268"/>
                              <w:gridCol w:w="5046"/>
                            </w:tblGrid>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répétée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 par aspiration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11.2 - Informations sur les autres dangers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Selon le règlement (UE) 2017/2100 ou le règlement (UE) 2018/605, aucune substance n'est connue pour avoir des perturbations endocriniennes</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12: Informations écologiques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12.1 - Toxicité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CE50 48h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96h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Toxique pour la vie aquatique avec des effets à long terme.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12.2 - Persistance et dégradabilité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biochimique en oxygène (DBO)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chimique en oxygène (DCO)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de biodégradation en 28 jours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12.3 - Potentiel de bioaccumulation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Facteur de bioconcentration (FBC)</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12.4 - Mobilité dans le sol</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12.5 - Résultats des évaluations PBT et vPvB</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mélange contient &gt;= 0,1 % de substances répondant aux critères vPvB conformément au règlement (CE) n° 1907/2006, annexe XIII. Voir la SECTION 3 de cette fiche de données de sécurité.</w:t>
                                  </w:r>
                                </w:p>
                              </w:tc>
                            </w:tr>
                          </w:tbl>
                          <w:tbl>
                            <w:tblPr>
                              <w:tblLayout w:type="fixed"/>
                              <w:tblInd w:w="0" w:type="dxa"/>
                              <w:tblCellMar>
                                <w:left w:w="0" w:type="dxa"/>
                                <w:right w:w="0" w:type="dxa"/>
                              </w:tblCellMar>
                            </w:tblPr>
                            <w:tblGrid>
                              <w:gridCol w:w="2836"/>
                              <w:gridCol w:w="568"/>
                              <w:gridCol w:w="6748"/>
                            </w:tblGrid>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12.6 - Propriétés perturbant le système endocrinien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produit n'a pas de propriétés perturbateurs endocriniens.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12.7 - Autres effets néfastes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13: Considérations relatives à l'élimination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13.1 - Méthodes de traitement des déchets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de traitement des  déchets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conformément au Règlement 2008/98/CE en matière de déchets et déchets dangereux.</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Evacuation des eaux</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Précautions particulières à  prendre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des déchets conformément à la directive 2008/98/CE relative aux déchets et aux déchets dangereux.</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emballages non contaminés doivent être recyclés ou éliminés.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Manipuler les emballages contaminés de la même manière que la substance elle-même.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 Communautaire  ou Nationale ou Régionale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Éliminer les déchets conformément à la législation en vigueur.</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14: Informations relatives au transport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14.1 - Numéro ONU ou numéro d’identification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14.2 - Désignation officielle de transport de l'ONU</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14.3 - Classe(s) de danger pour le transport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14.4 - Groupe d'emballage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14.5 - Dangers pour l’environnement</w:t>
                                  </w:r>
                                </w:p>
                              </w:tc>
                            </w:tr>
                            <w:tr>
                              <w:trPr>
                                <w:trHeight w:val="170"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pour l’environnement</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Polluant marin</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14.6 - Précautions particulières à prendre par l’utilisateur</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14.7 - Transport maritime en vrac conformément aux instruments de l’OMI</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15: Informations relatives à la réglementation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94"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15.1 - Réglementations/législation particulières à la substance ou au mélange en matière de sécurité, de santé et d’environnement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REACH  candidates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XIV</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XVII</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bl>
                          <w:tbl>
                            <w:tblPr>
                              <w:tblLayout w:type="fixed"/>
                              <w:tblInd w:w="0" w:type="dxa"/>
                              <w:tblCellMar>
                                <w:left w:w="0" w:type="dxa"/>
                                <w:right w:w="0" w:type="dxa"/>
                              </w:tblCellMar>
                            </w:tblPr>
                            <w:tblGrid>
                              <w:gridCol w:w="964"/>
                              <w:gridCol w:w="738"/>
                              <w:gridCol w:w="510"/>
                              <w:gridCol w:w="624"/>
                              <w:gridCol w:w="568"/>
                              <w:gridCol w:w="1078"/>
                              <w:gridCol w:w="5670"/>
                            </w:tblGrid>
                            <w:tr>
                              <w:trPr>
                                <w:trHeight w:val="221" w:hRule="atLeast"/>
                              </w:trPr>
                              <w:tc>
                                <w:tcPr>
                                  <w:tcW w:w="2830"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Teneur en COV</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324" w:hRule="atLeast"/>
                              </w:trPr>
                              <w:tc>
                                <w:tcPr>
                                  <w:tcW w:w="2830"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Dispositions communautaires  en matière de sécurité, de  santé et d’environnement, lois  nationales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Cette FDS a été établie conformément au règlement REACH, y compris ses modifications: règlement REACH (CE) n °</w:t>
                                  </w:r>
                                </w:p>
                                <w:p>
                                  <w:pPr>
                                    <w:spacing w:before="0" w:after="0" w:line="200" w:lineRule="exact"/>
                                    <w:jc w:val="left"/>
                                  </w:pPr>
                                  <w:r>
                                    <w:rPr>
                                      <w:rFonts w:ascii="Arial" w:hAnsi="Arial" w:cs="Arial"/>
                                      <w:b w:val="false"/>
                                      <w:i w:val="false"/>
                                      <w:strike w:val="false"/>
                                      <w:color w:val="000000"/>
                                      <w:spacing w:val="0"/>
                                      <w:sz w:val="20"/>
                                      <w:u w:val="none"/>
                                    </w:rPr>
                                    <w:t xml:space="preserve">1907/2006.</w:t>
                                  </w:r>
                                </w:p>
                                <w:p>
                                  <w:pPr>
                                    <w:spacing w:before="0" w:after="0" w:line="200" w:lineRule="exact"/>
                                    <w:jc w:val="left"/>
                                  </w:pPr>
                                  <w:r>
                                    <w:rPr>
                                      <w:rFonts w:ascii="Arial" w:hAnsi="Arial" w:cs="Arial"/>
                                      <w:b w:val="false"/>
                                      <w:i w:val="false"/>
                                      <w:strike w:val="false"/>
                                      <w:color w:val="000000"/>
                                      <w:spacing w:val="0"/>
                                      <w:sz w:val="20"/>
                                      <w:u w:val="none"/>
                                    </w:rPr>
                                    <w:t xml:space="preserve">Cette SDS a été établie conformément à la réglementation CLP, y compris ses modifications: règlement CLP n °</w:t>
                                  </w:r>
                                </w:p>
                                <w:p>
                                  <w:pPr>
                                    <w:spacing w:before="0" w:after="0" w:line="200" w:lineRule="exact"/>
                                    <w:jc w:val="left"/>
                                  </w:pPr>
                                  <w:r>
                                    <w:rPr>
                                      <w:rFonts w:ascii="Arial" w:hAnsi="Arial" w:cs="Arial"/>
                                      <w:b w:val="false"/>
                                      <w:i w:val="false"/>
                                      <w:strike w:val="false"/>
                                      <w:color w:val="000000"/>
                                      <w:spacing w:val="0"/>
                                      <w:sz w:val="20"/>
                                      <w:u w:val="none"/>
                                    </w:rPr>
                                    <w:t xml:space="preserve">1272/2008.</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15.2 - Évaluation de la sécurité chimique</w:t>
                                  </w:r>
                                </w:p>
                              </w:tc>
                            </w:tr>
                            <w:tr>
                              <w:trPr>
                                <w:trHeight w:val="284"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7"/>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16: Autres informations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Versions de la FDS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31" w:hRule="atLeast"/>
                              </w:trPr>
                              <w:tc>
                                <w:tcPr>
                                  <w:tcW w:w="958" w:type="dxa"/>
                                  <w:tcBorders>
                                    <w:top w:val="single" w:color="666666" w:sz="4"/>
                                    <w:left w:val="single" w:color="666666" w:sz="4"/>
                                    <w:bottom w:val="single" w:color="666666" w:sz="4"/>
                                    <w:right w:val="single" w:color="666666" w:sz="4"/>
                                  </w:tcBorders>
                                  <w:shd w:val="clear" w:color="auto" w:fill="CCCCCC"/>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Version</w:t>
                                  </w:r>
                                </w:p>
                              </w:tc>
                              <w:tc>
                                <w:tcPr>
                                  <w:tcW w:w="1242" w:type="dxa"/>
                                  <w:gridSpan w:val="2"/>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Date d'émission</w:t>
                                  </w:r>
                                </w:p>
                              </w:tc>
                              <w:tc>
                                <w:tcPr>
                                  <w:tcW w:w="2264" w:type="dxa"/>
                                  <w:gridSpan w:val="3"/>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Auteur</w:t>
                                  </w:r>
                                </w:p>
                              </w:tc>
                              <w:tc>
                                <w:tcPr>
                                  <w:tcW w:w="5666"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Description des modifications</w:t>
                                  </w:r>
                                </w:p>
                              </w:tc>
                            </w:tr>
                            <w:tr>
                              <w:trPr>
                                <w:trHeight w:val="216" w:hRule="atLeast"/>
                              </w:trPr>
                              <w:tc>
                                <w:tcPr>
                                  <w:tcW w:w="958"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1</w:t>
                                  </w:r>
                                </w:p>
                              </w:tc>
                              <w:tc>
                                <w:tcPr>
                                  <w:tcW w:w="1242"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04/07/2025</w:t>
                                  </w:r>
                                </w:p>
                              </w:tc>
                              <w:tc>
                                <w:tcPr>
                                  <w:tcW w:w="2264" w:type="dxa"/>
                                  <w:gridSpan w:val="3"/>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5666"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Abréviations et acronymes</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ADR : L'Accord relatif au transport international des marchandises dangereuses par route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ATE : Estimation de la toxicité aiguë.</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CL50 : Concentration létale à 50 % d'un animal testé.</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CMEO : Concentration la plus faible avec effet observé.</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DL50 : Dose mortelle à 50 % d'un animal testé.</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DMEO : niveau d'effet indésirable observé le plus bas.</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DNEL : niveau dérivé sans effet.</w:t>
                                  </w:r>
                                </w:p>
                              </w:tc>
                            </w:tr>
                            <w:tr>
                              <w:trPr>
                                <w:trHeight w:val="44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EC50 : Concentration efficace de la substance provoquant des effets néfastes chez 50 % des animaux testés.</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IATA : Association du transport aérien international.</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IMDG : Marchandises dangereuses maritimes internationales.</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 CE : Numéro de la Communauté Européenne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NOEC : Concentration sans effet observé.</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NOEL : Aucun niveau d’effet observable.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Numéro CAS : Numéro du Chemical Abstracts Service.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OACI : Organisation de l'aviation civile internationale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PBT : Persistant, Bioaccumulable et Toxique.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PNEC : concentration prévue sans effet.</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RID : Transport international ferroviaire de marchandises dangereuses.</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STEL : Limite d'exposition à court terme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TWA : moyenne pondérée dans le temps</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VLEP : Limite d'exposition professionnelle.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vPvB : très persistant et très bioaccumulable.</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Textes des phrases réglementaires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Acute 1</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Acute 1</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2</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2</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3</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3</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Eye Irrit. 2</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oculaire - Catégorie 2</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H317</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Peut provoquer une allergie cutanée.</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Not Classified</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 classé</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Irrit. 2</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cutanée - Catégorie 2</w:t>
                                  </w:r>
                                </w:p>
                              </w:tc>
                            </w:tr>
                          </w:tbl>
                          <w:tbl>
                            <w:tblPr>
                              <w:tblLayout w:type="fixed"/>
                              <w:tblInd w:w="0" w:type="dxa"/>
                              <w:tblCellMar>
                                <w:left w:w="0" w:type="dxa"/>
                                <w:right w:w="0" w:type="dxa"/>
                              </w:tblCellMar>
                            </w:tblPr>
                            <w:tblGrid>
                              <w:gridCol w:w="1702"/>
                              <w:gridCol w:w="8448"/>
                            </w:tblGrid>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1B</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1B</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6"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center"/>
                                  </w:pPr>
                                  <w:r>
                                    <w:rPr>
                                      <w:rFonts w:ascii="Arial" w:hAnsi="Arial" w:cs="Arial"/>
                                      <w:b w:val="true"/>
                                      <w:i w:val="false"/>
                                      <w:strike w:val="false"/>
                                      <w:color w:val="000000"/>
                                      <w:spacing w:val="0"/>
                                      <w:sz w:val="24"/>
                                      <w:u w:val="none"/>
                                    </w:rPr>
                                    <w:t xml:space="preserve">*** *** ***</w:t>
                                  </w:r>
                                </w:p>
                              </w:tc>
                            </w:tr>
                          </w:tbl>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40" name="Rectangle 140"/>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41" name="Rectangle 141"/>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42" name="Rectangle 142"/>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Crepuscule poudrée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43" name="Rectangle 143"/>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44" name="Rectangle 144"/>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4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5">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46" name="Rectangle 146"/>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47" name="Rectangle 147"/>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04/07/2025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48" name="Rectangle 148"/>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49" name="Rectangle 149"/>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296262"/>
                <wp:effectExtent l="0" t="0" r="0" b="0"/>
                <wp:wrapNone/>
                <wp:docPr id="150" name="Rectangle 150"/>
                <wp:cNvGraphicFramePr/>
                <a:graphic xmlns:a="http://schemas.openxmlformats.org/drawingml/2006/main">
                  <a:graphicData uri="http://schemas.microsoft.com/office/word/2010/wordprocessingShape">
                    <wps:wsp>
                      <wps:cNvSpPr/>
                      <wps:spPr bwMode="auto">
                        <a:xfrm>
                          <a:off x="541800" y="1205640"/>
                          <a:ext cx="6508440" cy="8296262"/>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51" name="Rectangle 151"/>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2/12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52" name="Rectangle 152"/>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53" name="Rectangle 153"/>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Crepuscule poudrée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54" name="Rectangle 154"/>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55" name="Rectangle 155"/>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5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6">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57" name="Rectangle 157"/>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58" name="Rectangle 158"/>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04/07/2025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59" name="Rectangle 159"/>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60" name="Rectangle 160"/>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81698"/>
                <wp:effectExtent l="0" t="0" r="0" b="0"/>
                <wp:wrapNone/>
                <wp:docPr id="161" name="Rectangle 161"/>
                <wp:cNvGraphicFramePr/>
                <a:graphic xmlns:a="http://schemas.openxmlformats.org/drawingml/2006/main">
                  <a:graphicData uri="http://schemas.microsoft.com/office/word/2010/wordprocessingShape">
                    <wps:wsp>
                      <wps:cNvSpPr/>
                      <wps:spPr bwMode="auto">
                        <a:xfrm>
                          <a:off x="541800" y="1205640"/>
                          <a:ext cx="6508440" cy="8481698"/>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62" name="Rectangle 16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3/12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63" name="Rectangle 16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64" name="Rectangle 16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Crepuscule poudrée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65" name="Rectangle 165"/>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66" name="Rectangle 166"/>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6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7">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68" name="Rectangle 168"/>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69" name="Rectangle 16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04/07/2025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70" name="Rectangle 17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71" name="Rectangle 17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03886"/>
                <wp:effectExtent l="0" t="0" r="0" b="0"/>
                <wp:wrapNone/>
                <wp:docPr id="172" name="Rectangle 172"/>
                <wp:cNvGraphicFramePr/>
                <a:graphic xmlns:a="http://schemas.openxmlformats.org/drawingml/2006/main">
                  <a:graphicData uri="http://schemas.microsoft.com/office/word/2010/wordprocessingShape">
                    <wps:wsp>
                      <wps:cNvSpPr/>
                      <wps:spPr bwMode="auto">
                        <a:xfrm>
                          <a:off x="541800" y="1205640"/>
                          <a:ext cx="6508440" cy="8403886"/>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73" name="Rectangle 17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4/12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74" name="Rectangle 17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75" name="Rectangle 17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Crepuscule poudrée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76" name="Rectangle 176"/>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77" name="Rectangle 177"/>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7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8">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79" name="Rectangle 179"/>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80" name="Rectangle 18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04/07/2025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81" name="Rectangle 18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82" name="Rectangle 18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7813764"/>
                <wp:effectExtent l="0" t="0" r="0" b="0"/>
                <wp:wrapNone/>
                <wp:docPr id="183" name="Rectangle 183"/>
                <wp:cNvGraphicFramePr/>
                <a:graphic xmlns:a="http://schemas.openxmlformats.org/drawingml/2006/main">
                  <a:graphicData uri="http://schemas.microsoft.com/office/word/2010/wordprocessingShape">
                    <wps:wsp>
                      <wps:cNvSpPr/>
                      <wps:spPr bwMode="auto">
                        <a:xfrm>
                          <a:off x="541800" y="1205640"/>
                          <a:ext cx="6508440" cy="7813764"/>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85" name="Rectangle 18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5/12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86" name="Rectangle 18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87" name="Rectangle 18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Crepuscule poudrée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88" name="Rectangle 188"/>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89" name="Rectangle 189"/>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9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0">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91" name="Rectangle 191"/>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92" name="Rectangle 19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04/07/2025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93" name="Rectangle 19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94" name="Rectangle 19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509694"/>
                <wp:effectExtent l="0" t="0" r="0" b="0"/>
                <wp:wrapNone/>
                <wp:docPr id="195" name="Rectangle 195"/>
                <wp:cNvGraphicFramePr/>
                <a:graphic xmlns:a="http://schemas.openxmlformats.org/drawingml/2006/main">
                  <a:graphicData uri="http://schemas.microsoft.com/office/word/2010/wordprocessingShape">
                    <wps:wsp>
                      <wps:cNvSpPr/>
                      <wps:spPr bwMode="auto">
                        <a:xfrm>
                          <a:off x="541800" y="1205640"/>
                          <a:ext cx="6508440" cy="8509694"/>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00" name="Rectangle 200"/>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6/12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01" name="Rectangle 201"/>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02" name="Rectangle 202"/>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Crepuscule poudrée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03" name="Rectangle 203"/>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04" name="Rectangle 204"/>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20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5">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206" name="Rectangle 206"/>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07" name="Rectangle 207"/>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04/07/2025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08" name="Rectangle 208"/>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09" name="Rectangle 209"/>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44246"/>
                <wp:effectExtent l="0" t="0" r="0" b="0"/>
                <wp:wrapNone/>
                <wp:docPr id="210" name="Rectangle 210"/>
                <wp:cNvGraphicFramePr/>
                <a:graphic xmlns:a="http://schemas.openxmlformats.org/drawingml/2006/main">
                  <a:graphicData uri="http://schemas.microsoft.com/office/word/2010/wordprocessingShape">
                    <wps:wsp>
                      <wps:cNvSpPr/>
                      <wps:spPr bwMode="auto">
                        <a:xfrm>
                          <a:off x="541800" y="1205640"/>
                          <a:ext cx="6508440" cy="8444246"/>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11" name="Rectangle 211"/>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7/12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12" name="Rectangle 212"/>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13" name="Rectangle 213"/>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Crepuscule poudrée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14" name="Rectangle 214"/>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15" name="Rectangle 215"/>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21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6">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217" name="Rectangle 217"/>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18" name="Rectangle 218"/>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04/07/2025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19" name="Rectangle 219"/>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20" name="Rectangle 220"/>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91524"/>
                <wp:effectExtent l="0" t="0" r="0" b="0"/>
                <wp:wrapNone/>
                <wp:docPr id="221" name="Rectangle 221"/>
                <wp:cNvGraphicFramePr/>
                <a:graphic xmlns:a="http://schemas.openxmlformats.org/drawingml/2006/main">
                  <a:graphicData uri="http://schemas.microsoft.com/office/word/2010/wordprocessingShape">
                    <wps:wsp>
                      <wps:cNvSpPr/>
                      <wps:spPr bwMode="auto">
                        <a:xfrm>
                          <a:off x="541800" y="1205640"/>
                          <a:ext cx="6508440" cy="8391524"/>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22" name="Rectangle 22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8/12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23" name="Rectangle 22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24" name="Rectangle 22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Crepuscule poudrée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25" name="Rectangle 225"/>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26" name="Rectangle 226"/>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22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7">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228" name="Rectangle 228"/>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29" name="Rectangle 22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04/07/2025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30" name="Rectangle 23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31" name="Rectangle 23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12624"/>
                <wp:effectExtent l="0" t="0" r="0" b="0"/>
                <wp:wrapNone/>
                <wp:docPr id="232" name="Rectangle 232"/>
                <wp:cNvGraphicFramePr/>
                <a:graphic xmlns:a="http://schemas.openxmlformats.org/drawingml/2006/main">
                  <a:graphicData uri="http://schemas.microsoft.com/office/word/2010/wordprocessingShape">
                    <wps:wsp>
                      <wps:cNvSpPr/>
                      <wps:spPr bwMode="auto">
                        <a:xfrm>
                          <a:off x="541800" y="1205640"/>
                          <a:ext cx="6508440" cy="8312624"/>
                        </a:xfrm>
                        <a:prstGeom prst="rect">
                          <a:avLst/>
                        </a:prstGeom>
                        <a:ln w="0" cap="sq" cmpd="sng">
                          <a:noFill/>
                          <a:miter lim="800000"/>
                        </a:ln>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33" name="Rectangle 23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9/12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34" name="Rectangle 23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35" name="Rectangle 23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Crepuscule poudrée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36" name="Rectangle 236"/>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37" name="Rectangle 237"/>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23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8">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239" name="Rectangle 239"/>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40" name="Rectangle 24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04/07/2025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41" name="Rectangle 24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42" name="Rectangle 24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48984"/>
                <wp:effectExtent l="0" t="0" r="0" b="0"/>
                <wp:wrapNone/>
                <wp:docPr id="243" name="Rectangle 243"/>
                <wp:cNvGraphicFramePr/>
                <a:graphic xmlns:a="http://schemas.openxmlformats.org/drawingml/2006/main">
                  <a:graphicData uri="http://schemas.microsoft.com/office/word/2010/wordprocessingShape">
                    <wps:wsp>
                      <wps:cNvSpPr/>
                      <wps:spPr bwMode="auto">
                        <a:xfrm>
                          <a:off x="541800" y="1205640"/>
                          <a:ext cx="6508440" cy="8348984"/>
                        </a:xfrm>
                        <a:prstGeom prst="rect">
                          <a:avLst/>
                        </a:prstGeom>
                        <a:ln w="0" cap="sq" cmpd="sng">
                          <a:noFill/>
                          <a:miter lim="800000"/>
                        </a:ln>
                      </wps:spPr>
                      <wps:linkedTxbx id="1" seq="9"/>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44" name="Rectangle 24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10/12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45" name="Rectangle 24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46" name="Rectangle 24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Crepuscule poudrée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47" name="Rectangle 247"/>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48" name="Rectangle 248"/>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24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9">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250" name="Rectangle 250"/>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51" name="Rectangle 25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04/07/2025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52" name="Rectangle 25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53" name="Rectangle 25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511876"/>
                <wp:effectExtent l="0" t="0" r="0" b="0"/>
                <wp:wrapNone/>
                <wp:docPr id="254" name="Rectangle 254"/>
                <wp:cNvGraphicFramePr/>
                <a:graphic xmlns:a="http://schemas.openxmlformats.org/drawingml/2006/main">
                  <a:graphicData uri="http://schemas.microsoft.com/office/word/2010/wordprocessingShape">
                    <wps:wsp>
                      <wps:cNvSpPr/>
                      <wps:spPr bwMode="auto">
                        <a:xfrm>
                          <a:off x="541800" y="1205640"/>
                          <a:ext cx="6508440" cy="8511876"/>
                        </a:xfrm>
                        <a:prstGeom prst="rect">
                          <a:avLst/>
                        </a:prstGeom>
                        <a:ln w="0" cap="sq" cmpd="sng">
                          <a:noFill/>
                          <a:miter lim="800000"/>
                        </a:ln>
                      </wps:spPr>
                      <wps:linkedTxbx id="1" seq="10"/>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55" name="Rectangle 25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11/12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56" name="Rectangle 25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57" name="Rectangle 25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Crepuscule poudrée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58" name="Rectangle 258"/>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59" name="Rectangle 259"/>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26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0">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261" name="Rectangle 261"/>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62" name="Rectangle 26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04/07/2025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63" name="Rectangle 26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64" name="Rectangle 26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1549300"/>
                <wp:effectExtent l="0" t="0" r="0" b="0"/>
                <wp:wrapNone/>
                <wp:docPr id="265" name="Rectangle 265"/>
                <wp:cNvGraphicFramePr/>
                <a:graphic xmlns:a="http://schemas.openxmlformats.org/drawingml/2006/main">
                  <a:graphicData uri="http://schemas.microsoft.com/office/word/2010/wordprocessingShape">
                    <wps:wsp>
                      <wps:cNvSpPr/>
                      <wps:spPr bwMode="auto">
                        <a:xfrm>
                          <a:off x="541800" y="1205640"/>
                          <a:ext cx="6508440" cy="1549300"/>
                        </a:xfrm>
                        <a:prstGeom prst="rect">
                          <a:avLst/>
                        </a:prstGeom>
                        <a:ln w="0" cap="sq" cmpd="sng">
                          <a:noFill/>
                          <a:miter lim="800000"/>
                        </a:ln>
                      </wps:spPr>
                      <wps:linkedTxbx id="1" seq="1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66" name="Rectangle 266"/>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12/12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67" name="Rectangle 267"/>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68" name="Rectangle 268"/>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Crepuscule poudrée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69" name="Rectangle 269"/>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70" name="Rectangle 270"/>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27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1">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272" name="Rectangle 272"/>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73" name="Rectangle 273"/>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04/07/2025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74" name="Rectangle 274"/>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75" name="Rectangle 275"/>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p>
    <w:sectPr>
      <w:pgSz w:w="11906" w:h="16838" w:orient="portrait"/>
      <w:pgMar w:top="0" w:right="0" w:bottom="0" w:left="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3EA"/>
    <w:rsid w:val="00124B35"/>
    <w:rsid w:val="006C6556"/>
    <w:rsid w:val="00931FC8"/>
    <w:rsid w:val="00B003A3"/>
    <w:rsid w:val="00C173EA"/>
    <w:rsid w:val="00D362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B8DB4A-2A23-44F0-A0D6-1A0CF23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Times New Roman"/>
        <w:lang w:val="de-DE" w:eastAsia="de-DE"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pPr>
      <w:spacing w:after="160" w:line="259" w:lineRule="auto"/>
    </w:pPr>
    <w:rPr>
      <w:sz w:val="22"/>
      <w:szCs w:val="22"/>
      <w:lang w:eastAsia="en-US"/>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jpg" Id="rId915" /><Relationship Type="http://schemas.openxmlformats.org/officeDocument/2006/relationships/image" Target="/media/image2.jpg" Id="rId916" /><Relationship Type="http://schemas.openxmlformats.org/officeDocument/2006/relationships/image" Target="/media/image3.jpg" Id="rId917" /><Relationship Type="http://schemas.openxmlformats.org/officeDocument/2006/relationships/image" Target="/media/image4.jpg" Id="rId918" /><Relationship Type="http://schemas.openxmlformats.org/officeDocument/2006/relationships/image" Target="/media/image5.jpg" Id="rId919" /><Relationship Type="http://schemas.openxmlformats.org/officeDocument/2006/relationships/image" Target="/media/image6.jpg" Id="rId920" /><Relationship Type="http://schemas.openxmlformats.org/officeDocument/2006/relationships/image" Target="/media/image7.jpg" Id="rId921" /><Relationship Type="http://schemas.openxmlformats.org/officeDocument/2006/relationships/image" Target="/media/image8.jpg" Id="rId922" /><Relationship Type="http://schemas.openxmlformats.org/officeDocument/2006/relationships/image" Target="/media/image9.jpg" Id="rId923" /><Relationship Type="http://schemas.openxmlformats.org/officeDocument/2006/relationships/image" Target="/media/image10.jpg" Id="rId924" /><Relationship Type="http://schemas.openxmlformats.org/officeDocument/2006/relationships/image" Target="/media/image11.jpg" Id="rId925" /><Relationship Type="http://schemas.openxmlformats.org/officeDocument/2006/relationships/image" Target="/media/image12.jpg" Id="rId926" /><Relationship Type="http://schemas.openxmlformats.org/officeDocument/2006/relationships/image" Target="/media/image13.jpg" Id="rId927" /><Relationship Type="http://schemas.openxmlformats.org/officeDocument/2006/relationships/image" Target="/media/image14.jpg" Id="rId928" /><Relationship Type="http://schemas.openxmlformats.org/officeDocument/2006/relationships/image" Target="/media/image15.jpg" Id="rId929" /><Relationship Type="http://schemas.openxmlformats.org/officeDocument/2006/relationships/image" Target="/media/image16.jpg" Id="rId930" /><Relationship Type="http://schemas.openxmlformats.org/officeDocument/2006/relationships/image" Target="/media/image17.jpg" Id="rId93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