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1372820a1c5646cb" /><Relationship Type="http://schemas.openxmlformats.org/package/2006/relationships/metadata/core-properties" Target="/package/services/metadata/core-properties/e12c6067ebfe4d8784b066288c3b3835.psmdcp" Id="Ra2a6d417927645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6256"/>
                <wp:effectExtent l="0" t="0" r="0" b="0"/>
                <wp:wrapNone/>
                <wp:docPr id="426" name="Rectangle 426"/>
                <wp:cNvGraphicFramePr/>
                <a:graphic xmlns:a="http://schemas.openxmlformats.org/drawingml/2006/main">
                  <a:graphicData uri="http://schemas.microsoft.com/office/word/2010/wordprocessingShape">
                    <wps:wsp>
                      <wps:cNvSpPr/>
                      <wps:spPr bwMode="auto">
                        <a:xfrm>
                          <a:off x="541800" y="1205640"/>
                          <a:ext cx="6508440" cy="8356256"/>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84"/>
                              <w:gridCol w:w="1134"/>
                              <w:gridCol w:w="1134"/>
                              <w:gridCol w:w="100"/>
                              <w:gridCol w:w="1078"/>
                              <w:gridCol w:w="1134"/>
                              <w:gridCol w:w="1134"/>
                              <w:gridCol w:w="1134"/>
                            </w:tblGrid>
                            <w:tr>
                              <w:trPr>
                                <w:trHeight w:val="266" w:hRule="atLeast"/>
                              </w:trPr>
                              <w:tc>
                                <w:tcPr>
                                  <w:tcW w:w="10144" w:type="dxa"/>
                                  <w:gridSpan w:val="12"/>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11"/>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Citrus Noisette 100%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11"/>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11"/>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11"/>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Sublimatelier</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UFI :</w:t>
                                  </w:r>
                                </w:p>
                              </w:tc>
                              <w:tc>
                                <w:tcPr>
                                  <w:tcW w:w="7876" w:type="dxa"/>
                                  <w:gridSpan w:val="11"/>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Q200-U0CW-600J-QWJP</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8"/>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-Sublimatelier</w:t>
                                  </w:r>
                                </w:p>
                                <w:p>
                                  <w:pPr>
                                    <w:spacing w:before="0" w:after="0" w:line="200" w:lineRule="exact"/>
                                    <w:jc w:val="left"/>
                                  </w:pPr>
                                  <w:r>
                                    <w:rPr>
                                      <w:rFonts w:ascii="Arial" w:hAnsi="Arial" w:cs="Arial"/>
                                      <w:b w:val="false"/>
                                      <w:i w:val="false"/>
                                      <w:strike w:val="false"/>
                                      <w:color w:val="000000"/>
                                      <w:spacing w:val="0"/>
                                      <w:sz w:val="20"/>
                                      <w:u w:val="none"/>
                                    </w:rPr>
                                    <w:t xml:space="preserve">27 rue sainte genevieve</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221"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charlotte Galbes : 0632985205 charlotte.galbes@orange.fr</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1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Flam. Sol. 2</w:t>
                                  </w:r>
                                </w:p>
                              </w:tc>
                              <w:tc>
                                <w:tcPr>
                                  <w:tcW w:w="7592" w:type="dxa"/>
                                  <w:gridSpan w:val="9"/>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Matière solide inflammable. - Catégorie 2</w:t>
                                  </w: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Oral</w:t>
                                  </w:r>
                                </w:p>
                              </w:tc>
                              <w:tc>
                                <w:tcPr>
                                  <w:tcW w:w="7592" w:type="dxa"/>
                                  <w:gridSpan w:val="9"/>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4</w:t>
                                  </w: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7592" w:type="dxa"/>
                                  <w:gridSpan w:val="9"/>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w:t>
                                  </w:r>
                                </w:p>
                              </w:tc>
                              <w:tc>
                                <w:tcPr>
                                  <w:tcW w:w="7592" w:type="dxa"/>
                                  <w:gridSpan w:val="9"/>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w:t>
                                  </w: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7592" w:type="dxa"/>
                                  <w:gridSpan w:val="9"/>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7592" w:type="dxa"/>
                                  <w:gridSpan w:val="9"/>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7592" w:type="dxa"/>
                                  <w:gridSpan w:val="9"/>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1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 benzoate de benzyle (CAS No.: 120-51-4) | benzoate de benzyle (CAS No.: 120-51-4) | citral (CAS No.: 5392-40-5) | trans-menthone (CAS No.: 89-80-5) | (R)-p-mentha-1,8-diène (CAS No.: 5989-27-5) | Isomenthone (CAS No.: 491-07-6) | Coumarin (CAS No.: 91-64-5) | Geraniol (CAS No.: 106-24-1) | 5-Methyl-2-hepten-4-one (CAS No.: 81925-81-7)</w:t>
                                  </w:r>
                                </w:p>
                              </w:tc>
                            </w:tr>
                            <w:tr>
                              <w:trPr>
                                <w:trHeight w:val="113" w:hRule="exact"/>
                              </w:trPr>
                              <w:tc>
                                <w:tcPr>
                                  <w:tcW w:w="-4" w:type="dxa"/>
                                  <w:gridSpan w:val="1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8"/>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Attention</w:t>
                                  </w:r>
                                </w:p>
                              </w:tc>
                            </w:tr>
                            <w:tr>
                              <w:trPr>
                                <w:trHeight w:val="1361" w:hRule="exact"/>
                              </w:trPr>
                              <w:tc>
                                <w:tcPr>
                                  <w:tcW w:w="3340"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 des risques</w:t>
                                  </w: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648000" cy="864000"/>
                                        <wp:effectExtent l="0" t="0" r="0" b="0"/>
                                        <wp:docPr id="4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5">
                                                  <a:extLst>
                                                    <a:ext uri="{28A0092B-C50C-407E-A947-70E740481C1C}">
                                                      <a14:useLocalDpi xmlns:a14="http://schemas.microsoft.com/office/drawing/2010/main" val="0"/>
                                                    </a:ext>
                                                  </a:extLst>
                                                </a:blip>
                                                <a:stretch>
                                                  <a:fillRect/>
                                                </a:stretch>
                                              </pic:blipFill>
                                              <pic:spPr>
                                                <a:xfrm>
                                                  <a:off x="0" y="0"/>
                                                  <a:ext cx="648000" cy="864000"/>
                                                </a:xfrm>
                                                <a:prstGeom prst="rect">
                                                  <a:avLst/>
                                                </a:prstGeom>
                                              </pic:spPr>
                                            </pic:pic>
                                          </a:graphicData>
                                        </a:graphic>
                                      </wp:inline>
                                    </w:drawing>
                                  </w: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648000" cy="864000"/>
                                        <wp:effectExtent l="0" t="0" r="0" b="0"/>
                                        <wp:docPr id="4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6">
                                                  <a:extLst>
                                                    <a:ext uri="{28A0092B-C50C-407E-A947-70E740481C1C}">
                                                      <a14:useLocalDpi xmlns:a14="http://schemas.microsoft.com/office/drawing/2010/main" val="0"/>
                                                    </a:ext>
                                                  </a:extLst>
                                                </a:blip>
                                                <a:stretch>
                                                  <a:fillRect/>
                                                </a:stretch>
                                              </pic:blipFill>
                                              <pic:spPr>
                                                <a:xfrm>
                                                  <a:off x="0" y="0"/>
                                                  <a:ext cx="648000" cy="864000"/>
                                                </a:xfrm>
                                                <a:prstGeom prst="rect">
                                                  <a:avLst/>
                                                </a:prstGeom>
                                              </pic:spPr>
                                            </pic:pic>
                                          </a:graphicData>
                                        </a:graphic>
                                      </wp:inline>
                                    </w:drawing>
                                  </w:r>
                                </w:p>
                              </w:tc>
                              <w:tc>
                                <w:tcPr>
                                  <w:tcW w:w="1130" w:type="dxa"/>
                                  <w:gridSpan w:val="2"/>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648000" cy="864000"/>
                                        <wp:effectExtent l="0" t="0" r="0" b="0"/>
                                        <wp:docPr id="4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7">
                                                  <a:extLst>
                                                    <a:ext uri="{28A0092B-C50C-407E-A947-70E740481C1C}">
                                                      <a14:useLocalDpi xmlns:a14="http://schemas.microsoft.com/office/drawing/2010/main" val="0"/>
                                                    </a:ext>
                                                  </a:extLst>
                                                </a:blip>
                                                <a:stretch>
                                                  <a:fillRect/>
                                                </a:stretch>
                                              </pic:blipFill>
                                              <pic:spPr>
                                                <a:xfrm>
                                                  <a:off x="0" y="0"/>
                                                  <a:ext cx="648000" cy="864000"/>
                                                </a:xfrm>
                                                <a:prstGeom prst="rect">
                                                  <a:avLst/>
                                                </a:prstGeom>
                                              </pic:spPr>
                                            </pic:pic>
                                          </a:graphicData>
                                        </a:graphic>
                                      </wp:inline>
                                    </w:drawing>
                                  </w: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c>
                                <w:tcPr>
                                  <w:tcW w:w="1130"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bl>
                          <w:tbl>
                            <w:tblPr>
                              <w:tblLayout w:type="fixed"/>
                              <w:tblInd w:w="0" w:type="dxa"/>
                              <w:tblCellMar>
                                <w:left w:w="0" w:type="dxa"/>
                                <w:right w:w="0" w:type="dxa"/>
                              </w:tblCellMar>
                            </w:tblPr>
                            <w:tblGrid>
                              <w:gridCol w:w="2494"/>
                              <w:gridCol w:w="568"/>
                              <w:gridCol w:w="1474"/>
                              <w:gridCol w:w="5614"/>
                            </w:tblGrid>
                            <w:tr>
                              <w:trPr>
                                <w:trHeight w:val="221" w:hRule="atLeast"/>
                              </w:trPr>
                              <w:tc>
                                <w:tcPr>
                                  <w:tcW w:w="249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H228</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Matière solide inflammable.</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H302</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en cas d'ingestion.</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H315</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irritation cutanée.</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H319</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sévère irritation des yeux.</w:t>
                                  </w:r>
                                </w:p>
                              </w:tc>
                            </w:tr>
                            <w:tr>
                              <w:trPr>
                                <w:trHeight w:val="431" w:hRule="atLeast"/>
                              </w:trPr>
                              <w:tc>
                                <w:tcPr>
                                  <w:tcW w:w="2490" w:type="dxa"/>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H410</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Très toxique pour les organismes aquatiques, entraîne des effets néfastes à long terme.</w:t>
                                  </w:r>
                                </w:p>
                              </w:tc>
                            </w:tr>
                            <w:tr>
                              <w:trPr>
                                <w:trHeight w:val="221" w:hRule="atLeast"/>
                              </w:trPr>
                              <w:tc>
                                <w:tcPr>
                                  <w:tcW w:w="249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P261</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Éviter de respirer les aérosols/les fumées/les vapeurs.</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P264</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 laver les mains soigneusement après manipulation.</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P270</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Ne pas manger, boire ou fumer en manipulant ce produit.</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P272</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vêtements de travail contaminés ne devraient pas sortir du lieu de travail.</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P273</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Éviter le rejet dans l'environnement.</w:t>
                                  </w:r>
                                </w:p>
                              </w:tc>
                            </w:tr>
                            <w:tr>
                              <w:trPr>
                                <w:trHeight w:val="43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P280</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Porter des gants de protection/des vêtements de protection/Masque de protection du visage.</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P301+P312</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D'INGESTION: Appeler un médecin en cas de malaise.</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P302+P352</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CONTACT AVEC LA PEAU: laver abondamment à l'eau et au savon.</w:t>
                                  </w:r>
                                </w:p>
                              </w:tc>
                            </w:tr>
                            <w:tr>
                              <w:trPr>
                                <w:trHeight w:val="652"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P305+P351+P338</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CONTACT AVEC LES YEUX: rincer avec précaution à l'eau pendant plusieurs minutes. Enlever les lentilles de contact si la victime en porte et si elles peuvent être facilement enlevées. Continuer à rincer.</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P330</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Rincer la bouche.</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P332+P313</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d'irritation cutanée: consulter un médecin.</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P333+P313</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d'irritation ou d'éruption cutanée: consulter un médecin.</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P337+P313</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Si l'irritation oculaire persiste: consulter un médecin.</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P362+P364</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Enlever les vêtements contaminés et les laver avant réutilisation.</w:t>
                                  </w:r>
                                </w:p>
                              </w:tc>
                            </w:tr>
                            <w:tr>
                              <w:trPr>
                                <w:trHeight w:val="21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P391</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Recueillir le produit répandu.</w:t>
                                  </w:r>
                                </w:p>
                              </w:tc>
                            </w:tr>
                            <w:tr>
                              <w:trPr>
                                <w:trHeight w:val="431" w:hRule="atLeast"/>
                              </w:trPr>
                              <w:tc>
                                <w:tcPr>
                                  <w:tcW w:w="2490" w:type="dxa"/>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P501</w:t>
                                  </w:r>
                                </w:p>
                              </w:tc>
                              <w:tc>
                                <w:tcPr>
                                  <w:tcW w:w="7650" w:type="dxa"/>
                                  <w:gridSpan w:val="3"/>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Éliminer le contenu/le récipient dans une installation de recyclage ou d'élimination des déchets approuvée conformément à la réglementation locale.</w:t>
                                  </w:r>
                                </w:p>
                              </w:tc>
                            </w:tr>
                            <w:tr>
                              <w:trPr>
                                <w:trHeight w:val="221" w:hRule="atLeast"/>
                              </w:trPr>
                              <w:tc>
                                <w:tcPr>
                                  <w:tcW w:w="249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Avertissement tactile (EN/ISO 11683).</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103" w:hRule="atLeast"/>
                              </w:trPr>
                              <w:tc>
                                <w:tcPr>
                                  <w:tcW w:w="4532"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 PBT.</w:t>
                                  </w:r>
                                </w:p>
                              </w:tc>
                              <w:tc>
                                <w:tcPr>
                                  <w:tcW w:w="56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mélange ne contient aucune substance présentant un danger pour la santé ou l'environnement au sens du règlement (CE) n° 1272/2008, soumise à une limite d'exposition communautaire sur le lieu de travail, classée PBT/vPvB ou incluse dans la liste des substances candidates.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4532"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matière vPvB.</w:t>
                                  </w:r>
                                </w:p>
                              </w:tc>
                              <w:tc>
                                <w:tcPr>
                                  <w:tcW w:w="5608"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mélange contient &gt;= 0,1 % de substances répondant aux critères vPvB conformément au règlement (CE) n° 1907/2006, annexe XIII. Voir la SECTION 3 de cette fiche de données de sécurité.</w:t>
                                  </w:r>
                                </w:p>
                              </w:tc>
                            </w:tr>
                          </w:tbl>
                          <w:tbl>
                            <w:tblPr>
                              <w:tblLayout w:type="fixed"/>
                              <w:tblInd w:w="0" w:type="dxa"/>
                              <w:tblCellMar>
                                <w:left w:w="0" w:type="dxa"/>
                                <w:right w:w="0" w:type="dxa"/>
                              </w:tblCellMar>
                            </w:tblPr>
                            <w:tblGrid>
                              <w:gridCol w:w="2268"/>
                              <w:gridCol w:w="2268"/>
                              <w:gridCol w:w="1078"/>
                              <w:gridCol w:w="2268"/>
                              <w:gridCol w:w="2268"/>
                            </w:tblGrid>
                            <w:tr>
                              <w:trPr>
                                <w:trHeight w:val="441" w:hRule="atLeast"/>
                              </w:trPr>
                              <w:tc>
                                <w:tcPr>
                                  <w:tcW w:w="4532"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Autres dangers n'entraînant pas la classification</w:t>
                                  </w:r>
                                </w:p>
                              </w:tc>
                              <w:tc>
                                <w:tcPr>
                                  <w:tcW w:w="5608"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Conformément au règlement (UE) 1907/2006, aucune substance n'est évaluée comme PBT ou vPvB.</w:t>
                                  </w:r>
                                </w:p>
                              </w:tc>
                            </w:tr>
                            <w:tr>
                              <w:trPr>
                                <w:trHeight w:val="284" w:hRule="exact"/>
                              </w:trPr>
                              <w:tc>
                                <w:tcPr>
                                  <w:tcW w:w="-4" w:type="dxa"/>
                                  <w:gridSpan w:val="5"/>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5"/>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5"/>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r>
                              <w:trPr>
                                <w:trHeight w:val="113" w:hRule="exact"/>
                              </w:trPr>
                              <w:tc>
                                <w:tcPr>
                                  <w:tcW w:w="-4" w:type="dxa"/>
                                  <w:gridSpan w:val="5"/>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5"/>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5"/>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benzoate de benzyle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120-51-4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607-085-00-9</w:t>
                                  </w:r>
                                </w:p>
                                <w:p>
                                  <w:pPr>
                                    <w:spacing w:before="0" w:after="0" w:line="160" w:lineRule="exact"/>
                                    <w:jc w:val="left"/>
                                  </w:pPr>
                                  <w:r>
                                    <w:rPr>
                                      <w:rFonts w:ascii="Arial" w:hAnsi="Arial" w:cs="Arial"/>
                                      <w:b w:val="false"/>
                                      <w:i w:val="false"/>
                                      <w:strike w:val="false"/>
                                      <w:color w:val="000000"/>
                                      <w:spacing w:val="0"/>
                                      <w:sz w:val="16"/>
                                      <w:u w:val="none"/>
                                    </w:rPr>
                                    <w:t xml:space="preserve">N°CE : 204-402-9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21,332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benzoate de benzyle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120-51-4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607-085-00-9</w:t>
                                  </w:r>
                                </w:p>
                                <w:p>
                                  <w:pPr>
                                    <w:spacing w:before="0" w:after="0" w:line="160" w:lineRule="exact"/>
                                    <w:jc w:val="left"/>
                                  </w:pPr>
                                  <w:r>
                                    <w:rPr>
                                      <w:rFonts w:ascii="Arial" w:hAnsi="Arial" w:cs="Arial"/>
                                      <w:b w:val="false"/>
                                      <w:i w:val="false"/>
                                      <w:strike w:val="false"/>
                                      <w:color w:val="000000"/>
                                      <w:spacing w:val="0"/>
                                      <w:sz w:val="16"/>
                                      <w:u w:val="none"/>
                                    </w:rPr>
                                    <w:t xml:space="preserve">N°CE : 204-402-9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citral</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5392-40-5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605-019-00-3</w:t>
                                  </w:r>
                                </w:p>
                                <w:p>
                                  <w:pPr>
                                    <w:spacing w:before="0" w:after="0" w:line="160" w:lineRule="exact"/>
                                    <w:jc w:val="left"/>
                                  </w:pPr>
                                  <w:r>
                                    <w:rPr>
                                      <w:rFonts w:ascii="Arial" w:hAnsi="Arial" w:cs="Arial"/>
                                      <w:b w:val="false"/>
                                      <w:i w:val="false"/>
                                      <w:strike w:val="false"/>
                                      <w:color w:val="000000"/>
                                      <w:spacing w:val="0"/>
                                      <w:sz w:val="16"/>
                                      <w:u w:val="none"/>
                                    </w:rPr>
                                    <w:t xml:space="preserve">N°CE : 226-394-6</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9,132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L-menthol</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2216-51-5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218-690-9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7,84</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Irrit. 2 - H315 : 25&lt;%&lt;=100</w:t>
                                  </w:r>
                                </w:p>
                                <w:p>
                                  <w:pPr>
                                    <w:spacing w:before="0" w:after="0" w:line="160" w:lineRule="exact"/>
                                    <w:jc w:val="left"/>
                                  </w:pPr>
                                  <w:r>
                                    <w:rPr>
                                      <w:rFonts w:ascii="Arial" w:hAnsi="Arial" w:cs="Arial"/>
                                      <w:b w:val="false"/>
                                      <w:i w:val="false"/>
                                      <w:strike w:val="false"/>
                                      <w:color w:val="000000"/>
                                      <w:spacing w:val="0"/>
                                      <w:sz w:val="16"/>
                                      <w:u w:val="none"/>
                                    </w:rPr>
                                    <w:t xml:space="preserve">Eye Irrit. 2 - H319 : 25&lt;%&lt;=100</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trans-menthone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89-80-5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201-941-1</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5,332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(R)-p-mentha-1,8-diène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5989-27-5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601-096-00-2</w:t>
                                  </w:r>
                                </w:p>
                                <w:p>
                                  <w:pPr>
                                    <w:spacing w:before="0" w:after="0" w:line="160" w:lineRule="exact"/>
                                    <w:jc w:val="left"/>
                                  </w:pPr>
                                  <w:r>
                                    <w:rPr>
                                      <w:rFonts w:ascii="Arial" w:hAnsi="Arial" w:cs="Arial"/>
                                      <w:b w:val="false"/>
                                      <w:i w:val="false"/>
                                      <w:strike w:val="false"/>
                                      <w:color w:val="000000"/>
                                      <w:spacing w:val="0"/>
                                      <w:sz w:val="16"/>
                                      <w:u w:val="none"/>
                                    </w:rPr>
                                    <w:t xml:space="preserve">N°CE : 227-813-5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4,876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Isomenthone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491-07-6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207-727-4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2,052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Vanillin</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121-32-4</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204-464-7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Coumarin</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91-64-5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202-086-7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Geraniol</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106-24-1</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603-241-00-5</w:t>
                                  </w:r>
                                </w:p>
                                <w:p>
                                  <w:pPr>
                                    <w:spacing w:before="0" w:after="0" w:line="160" w:lineRule="exact"/>
                                    <w:jc w:val="left"/>
                                  </w:pPr>
                                  <w:r>
                                    <w:rPr>
                                      <w:rFonts w:ascii="Arial" w:hAnsi="Arial" w:cs="Arial"/>
                                      <w:b w:val="false"/>
                                      <w:i w:val="false"/>
                                      <w:strike w:val="false"/>
                                      <w:color w:val="000000"/>
                                      <w:spacing w:val="0"/>
                                      <w:sz w:val="16"/>
                                      <w:u w:val="none"/>
                                    </w:rPr>
                                    <w:t xml:space="preserve">N°CE : 203-377-1</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1,358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Dam. 1 - H318</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5-Methyl-2-hepten-4-one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81925-81-7</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617-270-6</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0,88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1A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Nerol</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106-25-2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203-378-7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0,88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Dam. 1 - H318</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1248"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Pin-2(3)-ene</w:t>
                                  </w:r>
                                </w:p>
                              </w:tc>
                              <w:tc>
                                <w:tcPr>
                                  <w:tcW w:w="2264" w:type="dxa"/>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80-56-8</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201-291-9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0,646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Citronellol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106-22-9</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203-375-0</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0,536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Pin-2(10)-ene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127-91-3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204-872-5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0,328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Cineole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470-82-6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207-431-5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0,248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linalol; 3,7-diméthyl-1,6- octadién-3-ol; dl-linalol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78-70-6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603-235-00-2</w:t>
                                  </w:r>
                                </w:p>
                                <w:p>
                                  <w:pPr>
                                    <w:spacing w:before="0" w:after="0" w:line="160" w:lineRule="exact"/>
                                    <w:jc w:val="left"/>
                                  </w:pPr>
                                  <w:r>
                                    <w:rPr>
                                      <w:rFonts w:ascii="Arial" w:hAnsi="Arial" w:cs="Arial"/>
                                      <w:b w:val="false"/>
                                      <w:i w:val="false"/>
                                      <w:strike w:val="false"/>
                                      <w:color w:val="000000"/>
                                      <w:spacing w:val="0"/>
                                      <w:sz w:val="16"/>
                                      <w:u w:val="none"/>
                                    </w:rPr>
                                    <w:t xml:space="preserve">N°CE : 201-134-4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0,222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7-methyl-3-methyleneocta-1,6 -diene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123-35-3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204-622-5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0,196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Caryophyllene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87-44-5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201-746-1</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0,152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Transporter la personne affectée en position allongée, en cas d'essoufflement en position semi-assise.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Après contact avec la peau, laver immédiatement et abondamment avec de l'eau et du savon.</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Changer les vêtements contaminés et saturés.</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réactions cutanées, consulter un médecin.</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Consulter impérativement un médecin.</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Enlever immédiatement les vêtement souillés, imprégnés.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Après contact avec les yeux, rincer à l'eau les paupières ouvertes suffisamment longtemps, puis consulter immédiatement un ophtalmologiste.</w:t>
                                  </w: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contact avec les yeux, paupière ouverte rincer immédiatement à l'eau courante 10 à 15 minutes et consulter un ophtalmologiste.</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d'irritation oculaire, consulter un ophtalmologue.</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soigneusement et abondamment avec une douche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faire vomir.</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la bouche abondamment à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principaux symptômes et effets connus sont décrits sur l'étiquette (voir section 2.2) et/ou à l'article 11</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bl>
                          <w:tbl>
                            <w:tblPr>
                              <w:tblLayout w:type="fixed"/>
                              <w:tblInd w:w="0" w:type="dxa"/>
                              <w:tblCellMar>
                                <w:left w:w="0" w:type="dxa"/>
                                <w:right w:w="0" w:type="dxa"/>
                              </w:tblCellMar>
                            </w:tblPr>
                            <w:tblGrid>
                              <w:gridCol w:w="2836"/>
                              <w:gridCol w:w="7314"/>
                            </w:tblGrid>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Sable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Mousse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La formation de gaz toxiques est possible pendant le chauffage ou en cas d'incendie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Collecter séparément les eaux d'extinction contaminées. Elles ne doivent pas être déversées dans les égouts.</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Coordonner les mesures de lutte contre l'incendie en fonction de l'environnement.</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Coordonner les mesures de lutte contre l'incendie en fonction de l'environnement.</w:t>
                                  </w:r>
                                </w:p>
                              </w:tc>
                            </w:tr>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Déplacer les récipients non endommagés hors de la zone de danger immédiat si cela peut être fait en toute sécurité.</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inhaler les gaz d'explosion et de combustion.</w:t>
                                  </w:r>
                                </w:p>
                              </w:tc>
                            </w:tr>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Soyez prudent lorsque vous appliquez du dioxyde de carbone dans des espaces confinés. Le dioxyde de carbone peut déplacer l'oxygène.</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jet d'eau pour protéger le personnel et refroidir les récipients en danger.</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Assurer une aération suffisante.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Evacuer les personnes en lieu sûr.</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personnel.</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une protection respiratoire adéquate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Mettre les personnes en lieu sûr.</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Portez des gants de protection.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Empêcher la pénétration dans le sol, les fossés, les égouts, les cours d'eau et les eaux souterraines.</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Empêcher la propagation sur une large zone (par exemple, par un confinement ou des barrières pétrolières).</w:t>
                                  </w:r>
                                </w:p>
                              </w:tc>
                            </w:tr>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Empêcher toute pénétration dans les égouts et les eaux publiques. Prévenir les autorités si le liquide pénètre dans les égouts ou les eaux publiques.</w:t>
                                  </w:r>
                                </w:p>
                              </w:tc>
                            </w:tr>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fuite de gaz ou de pénétration dans les cours d'eau, le sol ou les égouts, informer les autorités responsables.</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 sol/sous-sol.</w:t>
                                  </w:r>
                                </w:p>
                              </w:tc>
                            </w:tr>
                          </w:tbl>
                          <w:tbl>
                            <w:tblPr>
                              <w:tblLayout w:type="fixed"/>
                              <w:tblInd w:w="0" w:type="dxa"/>
                              <w:tblCellMar>
                                <w:left w:w="0" w:type="dxa"/>
                                <w:right w:w="0" w:type="dxa"/>
                              </w:tblCellMar>
                            </w:tblPr>
                            <w:tblGrid>
                              <w:gridCol w:w="2836"/>
                              <w:gridCol w:w="7314"/>
                            </w:tblGrid>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S'assurer que les déversements peuvent être contenus, par exemple dans des palettes de rétention ou des zones à bordures.</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Veiller à ce que toutes les eaux usées soient collectées et traitées par une station d'épuration.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Absorber avec un matériau liant les liquides ( p. ex. sable, terre de diatomées, liants acides ou universels).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Absorber avec un matériau liant les liquides (par ex. sable, terre de diatomées, liants acides ou universels).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Essuyer avec un matériau absorbant (p. ex. tissu, molleton).</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Nettoyer soigneusement les objets et les zones contaminés en respectant les réglementations environnementales.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Pomper/recueillir le produit libéré dans des récipients appropriés.</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mécaniquement et placer dans des conteneurs appropriés en vue de l'élimination.</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Traiter les matériaux récupérés comme indiqué dans la section relative à l'élimination des déchets.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de:Contact avec la peau</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Porter des vêtements de protection individuelle (voir section 8).</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Manipuler la substance uniquement dans des installations ou systèmes fermés.</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s'assurer d'une ventilation suffisante et d'une aspiration ponctuelle au niveau des points critiques.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seulement dans des zones bien ventilées.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Aspirer les vapeurs/aérosols directement à l'endroit où ils se forment.</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Concevoir en règle générale tous les procédés de travail de manière à exclure les risques suivants:Inhalation des vapeurs ou brouillards/aérosols</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Des vapeurs inflammables peuvent s'accumuler dans l'espace libre des systèmes fermés.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de respirer les vapeurs, le brouillard, les pulvérisations et les fumées.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vapeurs peuvent former avec l'air un mélange explosif.</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vapeurs/aérosols doivent être évacués directement au point d'origine.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Se laver les mains avant les pauses et après le travail.</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Changer immédiatement tout vêtement, chaussures ou chaussettes souillés.</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Laver les vêtements souillés avant de les réutiliser.</w:t>
                                  </w:r>
                                </w:p>
                              </w:tc>
                            </w:tr>
                          </w:tbl>
                          <w:tbl>
                            <w:tblPr>
                              <w:tblLayout w:type="fixed"/>
                              <w:tblInd w:w="0" w:type="dxa"/>
                              <w:tblCellMar>
                                <w:left w:w="0" w:type="dxa"/>
                                <w:right w:w="0" w:type="dxa"/>
                              </w:tblCellMar>
                            </w:tblPr>
                            <w:tblGrid>
                              <w:gridCol w:w="2836"/>
                              <w:gridCol w:w="5386"/>
                              <w:gridCol w:w="1928"/>
                            </w:tblGrid>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vêtements de travail utilisés ne doivent pas être portés en-dehors de la zone de travail.</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Travailler dans des zones bien ventilées ou avec un masque respiratoire à filtre.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Maintenir le recipient vertical afin d'eviter les fuites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Assurer une ventilation adéquate.</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mesures techniques et l'utilisation de méthodes de travail adéquates sont prioritaires sur les équipements de protections individuelles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NBR (caoutchouc nitrile).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Appareil de protection respiratoire approprié:Appareil avec filtre à particules (EN 143)</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49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4">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4"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Gants de protection</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4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5">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882"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La qualité des gants de protection résistants aux produits chimiques doit être choisie en fonction de la concentration et de la quantité de substances dangereuses sur le lieu de travail.</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662"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Lors de la manipulation de substances chimiques, il convient de porter des gants de protection portant le label CE avec les quatre chiffres de contrôle.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Lors de la manipulation de substances chimiques, porter exclusivement des gants spécial chimie pourvus d'un marquage CE, y compris du numéro de contrôle à quatre chiffres.</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4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6">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4" w:hRule="exac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Porter les gants de protection homologués</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4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7">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Pour des usages particuliers, il est recommandé de vérifier la résistance aux produits chimiques des gants de protection mentionnés ci-dessus avec le fournisseur de ces gants.</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Protection du corps appropriée:blouse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5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29">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66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Si les mesures techniques d'aspiration ou de ventilation ne sont pas possibles ou insuffisantes, il faut porter une protection respiratoire.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221"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les délais d'usure spécifiés par le fabricant.</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03"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La classe de filtre doit être adaptée à la concentration maximale de contaminants (gaz/vapeur/aérosol/particules) susceptible d'apparaître lors de la manipulation du produit. Si la concentration est dépassée, un appareil respiratoire autonome doit être utilisé.</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66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N'utiliser que des appareils de protection respiratoire portant le symbole CE et un numéro de test à quatre chiffres.</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2268"/>
                              <w:gridCol w:w="2778"/>
                            </w:tblGrid>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Toxicité aiguë (par voie orale) - Catégorie 4 - Nocif en cas d'ingestion.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2268"/>
                              <w:gridCol w:w="2778"/>
                            </w:tblGrid>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Irritation cutanée - Catégorie 2 - Provoque une irritation cutanée.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Irritation oculaire - Catégorie 2 - Provoque une sévère irritation des yeux.</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Provoque une grave irritation des yeux.</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Sensibilisation cutanée - Catégorie 1 - Peut provoquer une allergie cutanée.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Peut provoquer une réaction allergique cutanée.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Selon le règlement (UE) 2017/2100 ou le règlement (UE) 2018/605, aucune substance n'est connue pour avoir des perturbations endocriniennes</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5046"/>
                            </w:tblGrid>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Toxique pour la vie aquatique avec des effets à long terme.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mélange ne contient aucune substance présentant un danger pour la santé ou l'environnement au sens du règlement (CE) n° 1272/2008, soumise à une limite d'exposition communautaire sur le lieu de travail, classée PBT/vPvB ou incluse dans la liste des substances candidates.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mélange contient &gt;= 0,1 % de substances répondant aux critères vPvB conformément au règlement (CE) n° 1907/2006, annexe XIII. Voir la SECTION 3 de cette fiche de données de sécurité.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produit n'a pas de propriétés perturbateurs endocriniens.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conformément au Règlement 2008/98/CE en matière de déchets et déchets dangereux.</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des déchets conformément à la directive 2008/98/CE relative aux déchets et aux déchets dangereux.</w:t>
                                  </w:r>
                                </w:p>
                              </w:tc>
                            </w:tr>
                          </w:tbl>
                          <w:tbl>
                            <w:tblPr>
                              <w:tblLayout w:type="fixed"/>
                              <w:tblInd w:w="0" w:type="dxa"/>
                              <w:tblCellMar>
                                <w:left w:w="0" w:type="dxa"/>
                                <w:right w:w="0" w:type="dxa"/>
                              </w:tblCellMar>
                            </w:tblPr>
                            <w:tblGrid>
                              <w:gridCol w:w="964"/>
                              <w:gridCol w:w="1248"/>
                              <w:gridCol w:w="624"/>
                              <w:gridCol w:w="568"/>
                              <w:gridCol w:w="1078"/>
                              <w:gridCol w:w="5670"/>
                            </w:tblGrid>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Les emballages non contaminés doivent être recyclés ou éliminés.</w:t>
                                  </w: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Manipuler les emballages contaminés de la même manière que la substance elle-même.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Oui.</w:t>
                                  </w: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03/06/2025</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bl>
                          <w:tbl>
                            <w:tblPr>
                              <w:tblLayout w:type="fixed"/>
                              <w:tblInd w:w="0" w:type="dxa"/>
                              <w:tblCellMar>
                                <w:left w:w="0" w:type="dxa"/>
                                <w:right w:w="0" w:type="dxa"/>
                              </w:tblCellMar>
                            </w:tblPr>
                            <w:tblGrid>
                              <w:gridCol w:w="1702"/>
                              <w:gridCol w:w="1702"/>
                              <w:gridCol w:w="6748"/>
                            </w:tblGrid>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Oral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4</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Asp. Tox.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par aspiration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Dam.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Lésions oculaires graves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Flam. Liq.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 - Catégorie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Flam. Sol.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Matière solide inflammable.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H226</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H228</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Matière solide inflammable.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en cas d'ingestion.</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H304</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être mortel en cas d'ingestion et de pénétration dans les voies respiratoires.</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H315</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irritation cutanée.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H319</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sévère irritation des yeux.</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H410</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Très toxique pour les organismes aquatiques, entraîne des effets néfastes à long terme.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Toxique pour les organismes aquatiques, entraîne des effets néfastes à long terme.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1A</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1A</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bl>
                          <w:tbl>
                            <w:tblPr>
                              <w:tblLayout w:type="fixed"/>
                              <w:tblInd w:w="0" w:type="dxa"/>
                              <w:tblCellMar>
                                <w:left w:w="0" w:type="dxa"/>
                                <w:right w:w="0" w:type="dxa"/>
                              </w:tblCellMar>
                            </w:tblPr>
                            <w:tblGrid>
                              <w:gridCol w:w="10150"/>
                            </w:tblGrid>
                            <w:tr>
                              <w:trPr>
                                <w:trHeight w:val="882" w:hRule="atLeast"/>
                              </w:trPr>
                              <w:tc>
                                <w:tcPr>
                                  <w:tcW w:w="1014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30" name="Rectangle 43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31" name="Rectangle 43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32" name="Rectangle 43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33" name="Rectangle 43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34" name="Rectangle 43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43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8">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36" name="Rectangle 43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37" name="Rectangle 43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38" name="Rectangle 43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39" name="Rectangle 43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167546"/>
                <wp:effectExtent l="0" t="0" r="0" b="0"/>
                <wp:wrapNone/>
                <wp:docPr id="440" name="Rectangle 440"/>
                <wp:cNvGraphicFramePr/>
                <a:graphic xmlns:a="http://schemas.openxmlformats.org/drawingml/2006/main">
                  <a:graphicData uri="http://schemas.microsoft.com/office/word/2010/wordprocessingShape">
                    <wps:wsp>
                      <wps:cNvSpPr/>
                      <wps:spPr bwMode="auto">
                        <a:xfrm>
                          <a:off x="541800" y="1205640"/>
                          <a:ext cx="6508440" cy="8167546"/>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41" name="Rectangle 44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42" name="Rectangle 44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43" name="Rectangle 44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44" name="Rectangle 44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45" name="Rectangle 44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44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9">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47" name="Rectangle 44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48" name="Rectangle 44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49" name="Rectangle 44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50" name="Rectangle 45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23168"/>
                <wp:effectExtent l="0" t="0" r="0" b="0"/>
                <wp:wrapNone/>
                <wp:docPr id="451" name="Rectangle 451"/>
                <wp:cNvGraphicFramePr/>
                <a:graphic xmlns:a="http://schemas.openxmlformats.org/drawingml/2006/main">
                  <a:graphicData uri="http://schemas.microsoft.com/office/word/2010/wordprocessingShape">
                    <wps:wsp>
                      <wps:cNvSpPr/>
                      <wps:spPr bwMode="auto">
                        <a:xfrm>
                          <a:off x="541800" y="1205640"/>
                          <a:ext cx="6508440" cy="8323168"/>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52" name="Rectangle 45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53" name="Rectangle 45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54" name="Rectangle 45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55" name="Rectangle 45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56" name="Rectangle 45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45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58" name="Rectangle 45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59" name="Rectangle 45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60" name="Rectangle 46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61" name="Rectangle 46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59902"/>
                <wp:effectExtent l="0" t="0" r="0" b="0"/>
                <wp:wrapNone/>
                <wp:docPr id="462" name="Rectangle 462"/>
                <wp:cNvGraphicFramePr/>
                <a:graphic xmlns:a="http://schemas.openxmlformats.org/drawingml/2006/main">
                  <a:graphicData uri="http://schemas.microsoft.com/office/word/2010/wordprocessingShape">
                    <wps:wsp>
                      <wps:cNvSpPr/>
                      <wps:spPr bwMode="auto">
                        <a:xfrm>
                          <a:off x="541800" y="1205640"/>
                          <a:ext cx="6508440" cy="8259902"/>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63" name="Rectangle 46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64" name="Rectangle 46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65" name="Rectangle 46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66" name="Rectangle 46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67" name="Rectangle 46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46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69" name="Rectangle 46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70" name="Rectangle 47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71" name="Rectangle 47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72" name="Rectangle 47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24248"/>
                <wp:effectExtent l="0" t="0" r="0" b="0"/>
                <wp:wrapNone/>
                <wp:docPr id="473" name="Rectangle 473"/>
                <wp:cNvGraphicFramePr/>
                <a:graphic xmlns:a="http://schemas.openxmlformats.org/drawingml/2006/main">
                  <a:graphicData uri="http://schemas.microsoft.com/office/word/2010/wordprocessingShape">
                    <wps:wsp>
                      <wps:cNvSpPr/>
                      <wps:spPr bwMode="auto">
                        <a:xfrm>
                          <a:off x="541800" y="1205640"/>
                          <a:ext cx="6508440" cy="8424248"/>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74" name="Rectangle 47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75" name="Rectangle 47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76" name="Rectangle 47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77" name="Rectangle 47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78" name="Rectangle 47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47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80" name="Rectangle 48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81" name="Rectangle 48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82" name="Rectangle 48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83" name="Rectangle 48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46438"/>
                <wp:effectExtent l="0" t="0" r="0" b="0"/>
                <wp:wrapNone/>
                <wp:docPr id="484" name="Rectangle 484"/>
                <wp:cNvGraphicFramePr/>
                <a:graphic xmlns:a="http://schemas.openxmlformats.org/drawingml/2006/main">
                  <a:graphicData uri="http://schemas.microsoft.com/office/word/2010/wordprocessingShape">
                    <wps:wsp>
                      <wps:cNvSpPr/>
                      <wps:spPr bwMode="auto">
                        <a:xfrm>
                          <a:off x="541800" y="1205640"/>
                          <a:ext cx="6508440" cy="8346438"/>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85" name="Rectangle 48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86" name="Rectangle 48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87" name="Rectangle 48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488" name="Rectangle 48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489" name="Rectangle 48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49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91" name="Rectangle 49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92" name="Rectangle 49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93" name="Rectangle 49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94" name="Rectangle 49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95160"/>
                <wp:effectExtent l="0" t="0" r="0" b="0"/>
                <wp:wrapNone/>
                <wp:docPr id="495" name="Rectangle 495"/>
                <wp:cNvGraphicFramePr/>
                <a:graphic xmlns:a="http://schemas.openxmlformats.org/drawingml/2006/main">
                  <a:graphicData uri="http://schemas.microsoft.com/office/word/2010/wordprocessingShape">
                    <wps:wsp>
                      <wps:cNvSpPr/>
                      <wps:spPr bwMode="auto">
                        <a:xfrm>
                          <a:off x="541800" y="1205640"/>
                          <a:ext cx="6508440" cy="8395160"/>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00" name="Rectangle 50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01" name="Rectangle 50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502" name="Rectangle 50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03" name="Rectangle 50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04" name="Rectangle 50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50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8">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06" name="Rectangle 50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07" name="Rectangle 50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08" name="Rectangle 50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09" name="Rectangle 50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6618"/>
                <wp:effectExtent l="0" t="0" r="0" b="0"/>
                <wp:wrapNone/>
                <wp:docPr id="510" name="Rectangle 510"/>
                <wp:cNvGraphicFramePr/>
                <a:graphic xmlns:a="http://schemas.openxmlformats.org/drawingml/2006/main">
                  <a:graphicData uri="http://schemas.microsoft.com/office/word/2010/wordprocessingShape">
                    <wps:wsp>
                      <wps:cNvSpPr/>
                      <wps:spPr bwMode="auto">
                        <a:xfrm>
                          <a:off x="541800" y="1205640"/>
                          <a:ext cx="6508440" cy="8356618"/>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12" name="Rectangle 51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13" name="Rectangle 51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514" name="Rectangle 51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15" name="Rectangle 51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16" name="Rectangle 51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51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0">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18" name="Rectangle 51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19" name="Rectangle 51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20" name="Rectangle 52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21" name="Rectangle 52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63154"/>
                <wp:effectExtent l="0" t="0" r="0" b="0"/>
                <wp:wrapNone/>
                <wp:docPr id="522" name="Rectangle 522"/>
                <wp:cNvGraphicFramePr/>
                <a:graphic xmlns:a="http://schemas.openxmlformats.org/drawingml/2006/main">
                  <a:graphicData uri="http://schemas.microsoft.com/office/word/2010/wordprocessingShape">
                    <wps:wsp>
                      <wps:cNvSpPr/>
                      <wps:spPr bwMode="auto">
                        <a:xfrm>
                          <a:off x="541800" y="1205640"/>
                          <a:ext cx="6508440" cy="8463154"/>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23" name="Rectangle 52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24" name="Rectangle 52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525" name="Rectangle 52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26" name="Rectangle 52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27" name="Rectangle 52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52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1">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29" name="Rectangle 52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30" name="Rectangle 53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31" name="Rectangle 53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32" name="Rectangle 53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3346"/>
                <wp:effectExtent l="0" t="0" r="0" b="0"/>
                <wp:wrapNone/>
                <wp:docPr id="533" name="Rectangle 533"/>
                <wp:cNvGraphicFramePr/>
                <a:graphic xmlns:a="http://schemas.openxmlformats.org/drawingml/2006/main">
                  <a:graphicData uri="http://schemas.microsoft.com/office/word/2010/wordprocessingShape">
                    <wps:wsp>
                      <wps:cNvSpPr/>
                      <wps:spPr bwMode="auto">
                        <a:xfrm>
                          <a:off x="541800" y="1205640"/>
                          <a:ext cx="6508440" cy="8353346"/>
                        </a:xfrm>
                        <a:prstGeom prst="rect">
                          <a:avLst/>
                        </a:prstGeom>
                        <a:ln w="0" cap="sq" cmpd="sng">
                          <a:noFill/>
                          <a:miter lim="800000"/>
                        </a:ln>
                      </wps:spPr>
                      <wps:linkedTxbx id="1" seq="9"/>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34" name="Rectangle 53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35" name="Rectangle 53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536" name="Rectangle 53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37" name="Rectangle 53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38" name="Rectangle 53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53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2">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40" name="Rectangle 54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41" name="Rectangle 54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42" name="Rectangle 54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43" name="Rectangle 54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507512"/>
                <wp:effectExtent l="0" t="0" r="0" b="0"/>
                <wp:wrapNone/>
                <wp:docPr id="544" name="Rectangle 544"/>
                <wp:cNvGraphicFramePr/>
                <a:graphic xmlns:a="http://schemas.openxmlformats.org/drawingml/2006/main">
                  <a:graphicData uri="http://schemas.microsoft.com/office/word/2010/wordprocessingShape">
                    <wps:wsp>
                      <wps:cNvSpPr/>
                      <wps:spPr bwMode="auto">
                        <a:xfrm>
                          <a:off x="541800" y="1205640"/>
                          <a:ext cx="6508440" cy="8507512"/>
                        </a:xfrm>
                        <a:prstGeom prst="rect">
                          <a:avLst/>
                        </a:prstGeom>
                        <a:ln w="0" cap="sq" cmpd="sng">
                          <a:noFill/>
                          <a:miter lim="800000"/>
                        </a:ln>
                      </wps:spPr>
                      <wps:linkedTxbx id="1" seq="10"/>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45" name="Rectangle 54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11/14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46" name="Rectangle 54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547" name="Rectangle 54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48" name="Rectangle 54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49" name="Rectangle 54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55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3">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51" name="Rectangle 55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52" name="Rectangle 55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53" name="Rectangle 55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54" name="Rectangle 55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23158"/>
                <wp:effectExtent l="0" t="0" r="0" b="0"/>
                <wp:wrapNone/>
                <wp:docPr id="555" name="Rectangle 555"/>
                <wp:cNvGraphicFramePr/>
                <a:graphic xmlns:a="http://schemas.openxmlformats.org/drawingml/2006/main">
                  <a:graphicData uri="http://schemas.microsoft.com/office/word/2010/wordprocessingShape">
                    <wps:wsp>
                      <wps:cNvSpPr/>
                      <wps:spPr bwMode="auto">
                        <a:xfrm>
                          <a:off x="541800" y="1205640"/>
                          <a:ext cx="6508440" cy="8423158"/>
                        </a:xfrm>
                        <a:prstGeom prst="rect">
                          <a:avLst/>
                        </a:prstGeom>
                        <a:ln w="0" cap="sq" cmpd="sng">
                          <a:noFill/>
                          <a:miter lim="800000"/>
                        </a:ln>
                      </wps:spPr>
                      <wps:linkedTxbx id="1" seq="1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56" name="Rectangle 55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12/14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57" name="Rectangle 55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558" name="Rectangle 55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59" name="Rectangle 559"/>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60" name="Rectangle 560"/>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56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4">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62" name="Rectangle 562"/>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63" name="Rectangle 56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64" name="Rectangle 56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65" name="Rectangle 56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55154"/>
                <wp:effectExtent l="0" t="0" r="0" b="0"/>
                <wp:wrapNone/>
                <wp:docPr id="566" name="Rectangle 566"/>
                <wp:cNvGraphicFramePr/>
                <a:graphic xmlns:a="http://schemas.openxmlformats.org/drawingml/2006/main">
                  <a:graphicData uri="http://schemas.microsoft.com/office/word/2010/wordprocessingShape">
                    <wps:wsp>
                      <wps:cNvSpPr/>
                      <wps:spPr bwMode="auto">
                        <a:xfrm>
                          <a:off x="541800" y="1205640"/>
                          <a:ext cx="6508440" cy="8455154"/>
                        </a:xfrm>
                        <a:prstGeom prst="rect">
                          <a:avLst/>
                        </a:prstGeom>
                        <a:ln w="0" cap="sq" cmpd="sng">
                          <a:noFill/>
                          <a:miter lim="800000"/>
                        </a:ln>
                      </wps:spPr>
                      <wps:linkedTxbx id="1" seq="1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67" name="Rectangle 56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13/14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68" name="Rectangle 56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569" name="Rectangle 56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70" name="Rectangle 57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71" name="Rectangle 57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57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5">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73" name="Rectangle 57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74" name="Rectangle 57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75" name="Rectangle 57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76" name="Rectangle 57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997354"/>
                <wp:effectExtent l="0" t="0" r="0" b="0"/>
                <wp:wrapNone/>
                <wp:docPr id="577" name="Rectangle 577"/>
                <wp:cNvGraphicFramePr/>
                <a:graphic xmlns:a="http://schemas.openxmlformats.org/drawingml/2006/main">
                  <a:graphicData uri="http://schemas.microsoft.com/office/word/2010/wordprocessingShape">
                    <wps:wsp>
                      <wps:cNvSpPr/>
                      <wps:spPr bwMode="auto">
                        <a:xfrm>
                          <a:off x="541800" y="1205640"/>
                          <a:ext cx="6508440" cy="997354"/>
                        </a:xfrm>
                        <a:prstGeom prst="rect">
                          <a:avLst/>
                        </a:prstGeom>
                        <a:ln w="0" cap="sq" cmpd="sng">
                          <a:noFill/>
                          <a:miter lim="800000"/>
                        </a:ln>
                      </wps:spPr>
                      <wps:linkedTxbx id="1" seq="1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78" name="Rectangle 57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14/14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79" name="Rectangle 57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580" name="Rectangle 58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Citrus Noisette 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81" name="Rectangle 58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82" name="Rectangle 58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58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6">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84" name="Rectangle 58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85" name="Rectangle 58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86" name="Rectangle 58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87" name="Rectangle 58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 Type="http://schemas.openxmlformats.org/officeDocument/2006/relationships/image" Target="/media/image11.jpg" Id="rId925" /><Relationship Type="http://schemas.openxmlformats.org/officeDocument/2006/relationships/image" Target="/media/image12.jpg" Id="rId926" /><Relationship Type="http://schemas.openxmlformats.org/officeDocument/2006/relationships/image" Target="/media/image13.jpg" Id="rId927" /><Relationship Type="http://schemas.openxmlformats.org/officeDocument/2006/relationships/image" Target="/media/image14.jpg" Id="rId928" /><Relationship Type="http://schemas.openxmlformats.org/officeDocument/2006/relationships/image" Target="/media/image15.jpg" Id="rId929" /><Relationship Type="http://schemas.openxmlformats.org/officeDocument/2006/relationships/image" Target="/media/image16.jpg" Id="rId930" /><Relationship Type="http://schemas.openxmlformats.org/officeDocument/2006/relationships/image" Target="/media/image17.jpg" Id="rId931" /><Relationship Type="http://schemas.openxmlformats.org/officeDocument/2006/relationships/image" Target="/media/image18.jpg" Id="rId932" /><Relationship Type="http://schemas.openxmlformats.org/officeDocument/2006/relationships/image" Target="/media/image19.jpg" Id="rId933" /><Relationship Type="http://schemas.openxmlformats.org/officeDocument/2006/relationships/image" Target="/media/image20.jpg" Id="rId934" /><Relationship Type="http://schemas.openxmlformats.org/officeDocument/2006/relationships/image" Target="/media/image21.jpg" Id="rId935" /><Relationship Type="http://schemas.openxmlformats.org/officeDocument/2006/relationships/image" Target="/media/image22.jpg" Id="rId93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